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046A" w:rsidRDefault="00A5046A" w:rsidP="00A5046A">
      <w:pPr>
        <w:tabs>
          <w:tab w:val="center" w:pos="4152"/>
          <w:tab w:val="right" w:pos="8305"/>
        </w:tabs>
        <w:jc w:val="center"/>
        <w:rPr>
          <w:sz w:val="24"/>
          <w:szCs w:val="24"/>
        </w:rPr>
      </w:pPr>
      <w:r>
        <w:rPr>
          <w:rFonts w:ascii="Agency FB" w:hAnsi="Agency FB"/>
          <w:color w:val="595959"/>
          <w:kern w:val="24"/>
          <w:sz w:val="20"/>
          <w:szCs w:val="20"/>
        </w:rPr>
        <w:t xml:space="preserve">“Coordinated Response to Child Abuse &amp; Neglect via Minimum Data Set: </w:t>
      </w:r>
      <w:r>
        <w:rPr>
          <w:rFonts w:ascii="Agency FB" w:hAnsi="Agency FB"/>
          <w:i/>
          <w:iCs/>
          <w:color w:val="595959"/>
          <w:kern w:val="24"/>
          <w:sz w:val="20"/>
          <w:szCs w:val="20"/>
        </w:rPr>
        <w:t>from planning to practice</w:t>
      </w:r>
      <w:r>
        <w:rPr>
          <w:rFonts w:ascii="Agency FB" w:hAnsi="Agency FB"/>
          <w:color w:val="595959"/>
          <w:kern w:val="24"/>
          <w:sz w:val="20"/>
          <w:szCs w:val="20"/>
        </w:rPr>
        <w:t>” [GA Nr: 810508 — CAN-MDS II — Funded by EU REC Programme 2014-2020]</w:t>
      </w:r>
    </w:p>
    <w:p w:rsidR="00337C96" w:rsidRDefault="00A5046A" w:rsidP="00A5046A">
      <w:pPr>
        <w:jc w:val="center"/>
      </w:pPr>
      <w:r>
        <w:rPr>
          <w:noProof/>
          <w:lang w:val="en-GB" w:eastAsia="en-GB"/>
        </w:rPr>
        <w:drawing>
          <wp:inline distT="0" distB="0" distL="0" distR="0" wp14:anchorId="0DE18B60" wp14:editId="20ACA0AB">
            <wp:extent cx="2915920" cy="508000"/>
            <wp:effectExtent l="0" t="0" r="0" b="6350"/>
            <wp:docPr id="12" name="Picture 2">
              <a:extLst xmlns:a="http://schemas.openxmlformats.org/drawingml/2006/main">
                <a:ext uri="{FF2B5EF4-FFF2-40B4-BE49-F238E27FC236}">
                  <a16:creationId xmlns:ve="http://schemas.openxmlformats.org/markup-compatibility/2006"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lc="http://schemas.openxmlformats.org/drawingml/2006/lockedCanvas" id="{16951CF4-060D-2540-83B1-A24AA7181C5A}"/>
                </a:ext>
              </a:extLst>
            </wp:docPr>
            <wp:cNvGraphicFramePr/>
            <a:graphic xmlns:a="http://schemas.openxmlformats.org/drawingml/2006/main">
              <a:graphicData uri="http://schemas.openxmlformats.org/drawingml/2006/picture">
                <pic:pic xmlns:pic="http://schemas.openxmlformats.org/drawingml/2006/picture">
                  <pic:nvPicPr>
                    <pic:cNvPr id="12" name="Picture 2">
                      <a:extLst>
                        <a:ext uri="{FF2B5EF4-FFF2-40B4-BE49-F238E27FC236}">
                          <a16:creationId xmlns:ve="http://schemas.openxmlformats.org/markup-compatibility/2006"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lc="http://schemas.openxmlformats.org/drawingml/2006/lockedCanvas" id="{16951CF4-060D-2540-83B1-A24AA7181C5A}"/>
                        </a:ext>
                      </a:extLst>
                    </pic:cNvPr>
                    <pic:cNvPicPr/>
                  </pic:nvPicPr>
                  <pic:blipFill>
                    <a:blip r:embed="rId6" cstate="print"/>
                    <a:srcRect/>
                    <a:stretch>
                      <a:fillRect/>
                    </a:stretch>
                  </pic:blipFill>
                  <pic:spPr bwMode="auto">
                    <a:xfrm>
                      <a:off x="0" y="0"/>
                      <a:ext cx="2915920" cy="508000"/>
                    </a:xfrm>
                    <a:prstGeom prst="rect">
                      <a:avLst/>
                    </a:prstGeom>
                    <a:noFill/>
                    <a:ln w="9525">
                      <a:noFill/>
                      <a:miter lim="800000"/>
                      <a:headEnd/>
                      <a:tailEnd/>
                    </a:ln>
                  </pic:spPr>
                </pic:pic>
              </a:graphicData>
            </a:graphic>
          </wp:inline>
        </w:drawing>
      </w:r>
    </w:p>
    <w:tbl>
      <w:tblPr>
        <w:tblStyle w:val="TableGrid1"/>
        <w:tblW w:w="10395"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60"/>
        <w:gridCol w:w="8235"/>
      </w:tblGrid>
      <w:tr w:rsidR="00A5046A" w:rsidTr="00A5046A">
        <w:tc>
          <w:tcPr>
            <w:tcW w:w="10395" w:type="dxa"/>
            <w:gridSpan w:val="2"/>
            <w:shd w:val="clear" w:color="auto" w:fill="4F81BD" w:themeFill="accent1"/>
            <w:hideMark/>
          </w:tcPr>
          <w:p w:rsidR="00A5046A" w:rsidRDefault="00A5046A">
            <w:pPr>
              <w:keepNext/>
              <w:keepLines/>
              <w:outlineLvl w:val="2"/>
              <w:rPr>
                <w:rFonts w:ascii="Calibri Light" w:eastAsia="Times New Roman" w:hAnsi="Calibri Light"/>
                <w:color w:val="808080"/>
                <w:sz w:val="24"/>
                <w:szCs w:val="24"/>
                <w:lang w:val="ru-RU"/>
              </w:rPr>
            </w:pPr>
            <w:bookmarkStart w:id="0" w:name="_Toc47963637"/>
            <w:r>
              <w:rPr>
                <w:rFonts w:ascii="Calibri Light" w:eastAsia="Times New Roman" w:hAnsi="Calibri Light"/>
                <w:color w:val="FFFFFF"/>
                <w:sz w:val="24"/>
                <w:szCs w:val="24"/>
                <w:lang w:val="bg-BG"/>
              </w:rPr>
              <w:t>Б</w:t>
            </w:r>
            <w:r>
              <w:rPr>
                <w:rFonts w:ascii="Calibri Light" w:eastAsia="Times New Roman" w:hAnsi="Calibri Light"/>
                <w:color w:val="FFFFFF"/>
                <w:sz w:val="24"/>
                <w:szCs w:val="24"/>
              </w:rPr>
              <w:t xml:space="preserve">.  </w:t>
            </w:r>
            <w:r>
              <w:rPr>
                <w:rFonts w:ascii="Calibri Light" w:eastAsia="Times New Roman" w:hAnsi="Calibri Light"/>
                <w:color w:val="FFFFFF"/>
                <w:sz w:val="24"/>
                <w:szCs w:val="24"/>
                <w:lang w:val="bg-BG"/>
              </w:rPr>
              <w:t>Случай на насилие и пренебрегване нa дете, който е докладван на Агенция от източник на информация.</w:t>
            </w:r>
            <w:bookmarkEnd w:id="0"/>
          </w:p>
        </w:tc>
      </w:tr>
      <w:tr w:rsidR="00A5046A" w:rsidTr="00A5046A">
        <w:tc>
          <w:tcPr>
            <w:tcW w:w="2160" w:type="dxa"/>
          </w:tcPr>
          <w:p w:rsidR="00A5046A" w:rsidRDefault="00A5046A">
            <w:pPr>
              <w:jc w:val="right"/>
              <w:rPr>
                <w:rFonts w:cs="Calibri"/>
                <w:b/>
                <w:color w:val="ED7D31"/>
              </w:rPr>
            </w:pPr>
          </w:p>
          <w:p w:rsidR="00A5046A" w:rsidRDefault="00A5046A">
            <w:pPr>
              <w:jc w:val="right"/>
              <w:rPr>
                <w:rFonts w:cs="Calibri"/>
                <w:b/>
                <w:color w:val="538135"/>
                <w:lang w:val="bg-BG"/>
              </w:rPr>
            </w:pPr>
            <w:r>
              <w:rPr>
                <w:rFonts w:cs="Calibri"/>
                <w:b/>
                <w:color w:val="ED7D31"/>
                <w:lang w:val="bg-BG"/>
              </w:rPr>
              <w:t>За примерни схеми на екрана, моля вижте параграф 6.a</w:t>
            </w:r>
          </w:p>
          <w:p w:rsidR="00A5046A" w:rsidRPr="007F5733" w:rsidRDefault="00A5046A">
            <w:pPr>
              <w:jc w:val="right"/>
              <w:rPr>
                <w:rFonts w:cs="Calibri"/>
                <w:b/>
                <w:color w:val="538135"/>
              </w:rPr>
            </w:pPr>
          </w:p>
          <w:p w:rsidR="00A5046A" w:rsidRDefault="00A5046A">
            <w:pPr>
              <w:jc w:val="right"/>
              <w:rPr>
                <w:rFonts w:cs="Calibri"/>
                <w:b/>
                <w:color w:val="538135"/>
              </w:rPr>
            </w:pPr>
          </w:p>
          <w:p w:rsidR="00A5046A" w:rsidRDefault="00A5046A">
            <w:pPr>
              <w:jc w:val="right"/>
              <w:rPr>
                <w:rFonts w:cs="Calibri"/>
                <w:b/>
                <w:color w:val="538135"/>
              </w:rPr>
            </w:pPr>
          </w:p>
          <w:p w:rsidR="00A5046A" w:rsidRDefault="00A5046A">
            <w:pPr>
              <w:jc w:val="right"/>
              <w:rPr>
                <w:rFonts w:cs="Calibri"/>
                <w:b/>
                <w:color w:val="538135"/>
              </w:rPr>
            </w:pPr>
          </w:p>
          <w:p w:rsidR="00A5046A" w:rsidRDefault="00A5046A">
            <w:pPr>
              <w:jc w:val="right"/>
              <w:rPr>
                <w:rFonts w:cs="Calibri"/>
                <w:b/>
                <w:color w:val="538135"/>
              </w:rPr>
            </w:pPr>
          </w:p>
          <w:p w:rsidR="00A5046A" w:rsidRDefault="00A5046A">
            <w:pPr>
              <w:jc w:val="right"/>
              <w:rPr>
                <w:rFonts w:cs="Calibri"/>
                <w:b/>
                <w:color w:val="538135"/>
              </w:rPr>
            </w:pPr>
          </w:p>
          <w:p w:rsidR="00A5046A" w:rsidRDefault="00A5046A">
            <w:pPr>
              <w:jc w:val="right"/>
              <w:rPr>
                <w:rFonts w:cs="Calibri"/>
                <w:b/>
                <w:color w:val="538135"/>
              </w:rPr>
            </w:pPr>
          </w:p>
          <w:p w:rsidR="00A5046A" w:rsidRDefault="00A5046A">
            <w:pPr>
              <w:jc w:val="right"/>
              <w:rPr>
                <w:rFonts w:cs="Calibri"/>
                <w:b/>
                <w:color w:val="538135"/>
              </w:rPr>
            </w:pPr>
          </w:p>
          <w:p w:rsidR="00A5046A" w:rsidRDefault="00A5046A">
            <w:pPr>
              <w:jc w:val="right"/>
              <w:rPr>
                <w:rFonts w:cs="Calibri"/>
                <w:b/>
                <w:color w:val="538135"/>
              </w:rPr>
            </w:pPr>
          </w:p>
          <w:p w:rsidR="00A5046A" w:rsidRDefault="00A5046A">
            <w:pPr>
              <w:jc w:val="right"/>
              <w:rPr>
                <w:rFonts w:cs="Calibri"/>
                <w:b/>
                <w:color w:val="538135"/>
              </w:rPr>
            </w:pPr>
          </w:p>
          <w:p w:rsidR="00A5046A" w:rsidRDefault="00A5046A">
            <w:pPr>
              <w:jc w:val="right"/>
              <w:rPr>
                <w:rFonts w:cs="Calibri"/>
                <w:b/>
                <w:color w:val="538135"/>
              </w:rPr>
            </w:pPr>
          </w:p>
          <w:p w:rsidR="00A5046A" w:rsidRDefault="00A5046A">
            <w:pPr>
              <w:jc w:val="right"/>
              <w:rPr>
                <w:rFonts w:cs="Calibri"/>
                <w:b/>
                <w:color w:val="538135"/>
              </w:rPr>
            </w:pPr>
          </w:p>
          <w:p w:rsidR="00A5046A" w:rsidRDefault="00A5046A">
            <w:pPr>
              <w:jc w:val="right"/>
              <w:rPr>
                <w:rFonts w:cs="Calibri"/>
                <w:b/>
                <w:color w:val="538135"/>
              </w:rPr>
            </w:pPr>
          </w:p>
          <w:p w:rsidR="00A5046A" w:rsidRDefault="00A5046A">
            <w:pPr>
              <w:jc w:val="right"/>
              <w:rPr>
                <w:rFonts w:cs="Calibri"/>
                <w:b/>
                <w:color w:val="538135"/>
              </w:rPr>
            </w:pPr>
          </w:p>
          <w:p w:rsidR="00A5046A" w:rsidRDefault="00A5046A">
            <w:pPr>
              <w:jc w:val="right"/>
              <w:rPr>
                <w:rFonts w:cs="Calibri"/>
                <w:b/>
                <w:color w:val="538135"/>
              </w:rPr>
            </w:pPr>
          </w:p>
          <w:p w:rsidR="00A5046A" w:rsidRDefault="00A5046A">
            <w:pPr>
              <w:jc w:val="right"/>
              <w:rPr>
                <w:rFonts w:ascii="Calibri Light" w:hAnsi="Calibri Light"/>
                <w:b/>
                <w:iCs/>
                <w:color w:val="323E4F"/>
                <w:sz w:val="28"/>
              </w:rPr>
            </w:pPr>
          </w:p>
        </w:tc>
        <w:tc>
          <w:tcPr>
            <w:tcW w:w="8235" w:type="dxa"/>
          </w:tcPr>
          <w:p w:rsidR="00A5046A" w:rsidRDefault="00A5046A">
            <w:pPr>
              <w:contextualSpacing/>
              <w:jc w:val="both"/>
              <w:rPr>
                <w:rFonts w:eastAsia="Times New Roman"/>
                <w:szCs w:val="24"/>
                <w:lang w:eastAsia="el-GR"/>
              </w:rPr>
            </w:pPr>
          </w:p>
          <w:p w:rsidR="00A5046A" w:rsidRDefault="00A5046A" w:rsidP="00882864">
            <w:pPr>
              <w:numPr>
                <w:ilvl w:val="0"/>
                <w:numId w:val="1"/>
              </w:numPr>
              <w:ind w:hanging="283"/>
              <w:contextualSpacing/>
              <w:jc w:val="both"/>
              <w:rPr>
                <w:rFonts w:eastAsia="Times New Roman"/>
                <w:szCs w:val="24"/>
                <w:lang w:val="bg-BG" w:eastAsia="el-GR"/>
              </w:rPr>
            </w:pPr>
            <w:r>
              <w:rPr>
                <w:rFonts w:eastAsia="Times New Roman"/>
                <w:szCs w:val="24"/>
                <w:lang w:val="bg-BG" w:eastAsia="el-GR"/>
              </w:rPr>
              <w:t>Операторът преминава към съхранение на информация за случая (по обичайния ред).</w:t>
            </w:r>
          </w:p>
          <w:p w:rsidR="00A5046A" w:rsidRDefault="00A5046A">
            <w:pPr>
              <w:contextualSpacing/>
              <w:jc w:val="both"/>
              <w:rPr>
                <w:rFonts w:eastAsia="Times New Roman"/>
                <w:szCs w:val="24"/>
                <w:lang w:val="bg-BG" w:eastAsia="el-GR"/>
              </w:rPr>
            </w:pPr>
          </w:p>
          <w:p w:rsidR="00A5046A" w:rsidRDefault="00A5046A">
            <w:pPr>
              <w:shd w:val="clear" w:color="auto" w:fill="F2F2F2"/>
              <w:ind w:hanging="567"/>
              <w:contextualSpacing/>
              <w:jc w:val="both"/>
              <w:rPr>
                <w:rFonts w:eastAsia="Times New Roman"/>
                <w:i/>
                <w:szCs w:val="24"/>
                <w:lang w:val="bg-BG" w:eastAsia="el-GR"/>
              </w:rPr>
            </w:pPr>
            <w:r>
              <w:rPr>
                <w:rFonts w:eastAsia="Times New Roman"/>
                <w:i/>
                <w:sz w:val="20"/>
                <w:szCs w:val="24"/>
                <w:lang w:val="bg-BG" w:eastAsia="el-GR"/>
              </w:rPr>
              <w:t>Забе Бележка: конкретният случай може да бъде документиран или да има само съмнения; имайки предвид факта, че все още няма проведено проучване, то ВСИЧКИ случаи се разглеждат като предполагаеми.</w:t>
            </w:r>
          </w:p>
          <w:p w:rsidR="00A5046A" w:rsidRDefault="00A5046A" w:rsidP="00882864">
            <w:pPr>
              <w:numPr>
                <w:ilvl w:val="0"/>
                <w:numId w:val="1"/>
              </w:numPr>
              <w:ind w:hanging="283"/>
              <w:contextualSpacing/>
              <w:jc w:val="both"/>
              <w:rPr>
                <w:rFonts w:eastAsia="Times New Roman"/>
                <w:szCs w:val="24"/>
                <w:lang w:val="bg-BG" w:eastAsia="el-GR"/>
              </w:rPr>
            </w:pPr>
            <w:r>
              <w:rPr>
                <w:rFonts w:eastAsia="Times New Roman"/>
                <w:szCs w:val="24"/>
                <w:lang w:val="bg-BG" w:eastAsia="el-GR"/>
              </w:rPr>
              <w:t>Операторът се грижи за цялата информация, необходима за записа в системата (CAN-MDS)</w:t>
            </w:r>
          </w:p>
          <w:p w:rsidR="00A5046A" w:rsidRDefault="00A5046A">
            <w:pPr>
              <w:contextualSpacing/>
              <w:jc w:val="both"/>
              <w:rPr>
                <w:rFonts w:eastAsia="Times New Roman"/>
                <w:i/>
                <w:color w:val="2E74B5"/>
                <w:szCs w:val="24"/>
                <w:lang w:val="bg-BG" w:eastAsia="el-GR"/>
              </w:rPr>
            </w:pPr>
          </w:p>
          <w:p w:rsidR="00A5046A" w:rsidRDefault="00A5046A">
            <w:pPr>
              <w:ind w:hanging="283"/>
              <w:contextualSpacing/>
              <w:jc w:val="both"/>
              <w:rPr>
                <w:rFonts w:eastAsia="Times New Roman"/>
                <w:i/>
                <w:szCs w:val="24"/>
                <w:lang w:val="ru-RU" w:eastAsia="el-GR"/>
              </w:rPr>
            </w:pPr>
            <w:r>
              <w:rPr>
                <w:rFonts w:eastAsia="Times New Roman"/>
                <w:i/>
                <w:color w:val="2E74B5"/>
                <w:szCs w:val="24"/>
                <w:highlight w:val="red"/>
                <w:lang w:val="bg-BG" w:eastAsia="el-GR"/>
              </w:rPr>
              <w:t>П</w:t>
            </w:r>
            <w:r>
              <w:rPr>
                <w:rFonts w:eastAsia="Times New Roman"/>
                <w:i/>
                <w:color w:val="2E74B5"/>
                <w:szCs w:val="24"/>
                <w:lang w:val="bg-BG" w:eastAsia="el-GR"/>
              </w:rPr>
              <w:t xml:space="preserve">   Обяснение: Отпечатаната/хартиената форма на променливите на ситемата  (</w:t>
            </w:r>
            <w:r>
              <w:rPr>
                <w:rFonts w:eastAsia="Times New Roman"/>
                <w:i/>
                <w:color w:val="2E74B5"/>
                <w:szCs w:val="24"/>
                <w:lang w:eastAsia="el-GR"/>
              </w:rPr>
              <w:t>CAN</w:t>
            </w:r>
            <w:r>
              <w:rPr>
                <w:rFonts w:eastAsia="Times New Roman"/>
                <w:i/>
                <w:color w:val="2E74B5"/>
                <w:szCs w:val="24"/>
                <w:lang w:val="bg-BG" w:eastAsia="el-GR"/>
              </w:rPr>
              <w:t>-</w:t>
            </w:r>
            <w:r>
              <w:rPr>
                <w:rFonts w:eastAsia="Times New Roman"/>
                <w:i/>
                <w:color w:val="2E74B5"/>
                <w:szCs w:val="24"/>
                <w:lang w:eastAsia="el-GR"/>
              </w:rPr>
              <w:t>MDS</w:t>
            </w:r>
            <w:r>
              <w:rPr>
                <w:rFonts w:eastAsia="Times New Roman"/>
                <w:i/>
                <w:color w:val="2E74B5"/>
                <w:szCs w:val="24"/>
                <w:lang w:val="bg-BG" w:eastAsia="el-GR"/>
              </w:rPr>
              <w:t>) може да бъде от полза при проверка за пълнотата на необходимата информация (като контролен списък).</w:t>
            </w:r>
            <w:r>
              <w:rPr>
                <w:rFonts w:eastAsia="Times New Roman"/>
                <w:i/>
                <w:szCs w:val="24"/>
                <w:lang w:val="ru-RU" w:eastAsia="el-GR"/>
              </w:rPr>
              <w:t xml:space="preserve"> </w:t>
            </w:r>
          </w:p>
          <w:p w:rsidR="00A5046A" w:rsidRDefault="00A5046A">
            <w:pPr>
              <w:shd w:val="clear" w:color="auto" w:fill="F2F2F2"/>
              <w:ind w:hanging="567"/>
              <w:contextualSpacing/>
              <w:jc w:val="both"/>
              <w:rPr>
                <w:rFonts w:eastAsia="Times New Roman"/>
                <w:i/>
                <w:sz w:val="20"/>
                <w:szCs w:val="24"/>
                <w:shd w:val="clear" w:color="auto" w:fill="F2F2F2"/>
                <w:lang w:val="bg-BG" w:eastAsia="el-GR"/>
              </w:rPr>
            </w:pPr>
          </w:p>
          <w:p w:rsidR="00A5046A" w:rsidRDefault="00A5046A">
            <w:pPr>
              <w:shd w:val="clear" w:color="auto" w:fill="F2F2F2"/>
              <w:ind w:hanging="567"/>
              <w:contextualSpacing/>
              <w:jc w:val="both"/>
              <w:rPr>
                <w:rFonts w:eastAsia="Times New Roman"/>
                <w:i/>
                <w:sz w:val="20"/>
                <w:szCs w:val="24"/>
                <w:shd w:val="clear" w:color="auto" w:fill="F2F2F2"/>
                <w:lang w:val="bg-BG" w:eastAsia="el-GR"/>
              </w:rPr>
            </w:pPr>
            <w:r>
              <w:rPr>
                <w:rFonts w:eastAsia="Times New Roman"/>
                <w:i/>
                <w:sz w:val="20"/>
                <w:szCs w:val="24"/>
                <w:shd w:val="clear" w:color="auto" w:fill="F2F2F2"/>
                <w:lang w:val="bg-BG" w:eastAsia="el-GR"/>
              </w:rPr>
              <w:t>Бел  Бележка: Ако информацията е докладвана по време на среща лице в лице с източника на информация или по телефона, за всяка  променлива има предложени различни въпроси по-долу (4</w:t>
            </w:r>
            <w:r>
              <w:rPr>
                <w:rFonts w:eastAsia="Times New Roman"/>
                <w:i/>
                <w:sz w:val="20"/>
                <w:szCs w:val="24"/>
                <w:shd w:val="clear" w:color="auto" w:fill="F2F2F2"/>
                <w:lang w:eastAsia="el-GR"/>
              </w:rPr>
              <w:t>e</w:t>
            </w:r>
            <w:r>
              <w:rPr>
                <w:rFonts w:eastAsia="Times New Roman"/>
                <w:i/>
                <w:sz w:val="20"/>
                <w:szCs w:val="24"/>
                <w:shd w:val="clear" w:color="auto" w:fill="F2F2F2"/>
                <w:lang w:val="bg-BG" w:eastAsia="el-GR"/>
              </w:rPr>
              <w:t>-4</w:t>
            </w:r>
            <w:r>
              <w:rPr>
                <w:rFonts w:eastAsia="Times New Roman"/>
                <w:i/>
                <w:sz w:val="20"/>
                <w:szCs w:val="24"/>
                <w:shd w:val="clear" w:color="auto" w:fill="F2F2F2"/>
                <w:lang w:eastAsia="el-GR"/>
              </w:rPr>
              <w:t>k</w:t>
            </w:r>
            <w:r>
              <w:rPr>
                <w:rFonts w:eastAsia="Times New Roman"/>
                <w:i/>
                <w:sz w:val="20"/>
                <w:szCs w:val="24"/>
                <w:shd w:val="clear" w:color="auto" w:fill="F2F2F2"/>
                <w:lang w:val="bg-BG" w:eastAsia="el-GR"/>
              </w:rPr>
              <w:t xml:space="preserve">). Ако сигналът е в писмена форма, Операторът трябва да извлече, колкото се може повече информация, полезна за системата </w:t>
            </w:r>
            <w:r>
              <w:rPr>
                <w:rFonts w:eastAsia="Times New Roman"/>
                <w:i/>
                <w:sz w:val="20"/>
                <w:szCs w:val="24"/>
                <w:shd w:val="clear" w:color="auto" w:fill="F2F2F2"/>
                <w:lang w:eastAsia="el-GR"/>
              </w:rPr>
              <w:t>CAN</w:t>
            </w:r>
            <w:r>
              <w:rPr>
                <w:rFonts w:eastAsia="Times New Roman"/>
                <w:i/>
                <w:sz w:val="20"/>
                <w:szCs w:val="24"/>
                <w:shd w:val="clear" w:color="auto" w:fill="F2F2F2"/>
                <w:lang w:val="bg-BG" w:eastAsia="el-GR"/>
              </w:rPr>
              <w:t>-</w:t>
            </w:r>
            <w:r>
              <w:rPr>
                <w:rFonts w:eastAsia="Times New Roman"/>
                <w:i/>
                <w:sz w:val="20"/>
                <w:szCs w:val="24"/>
                <w:shd w:val="clear" w:color="auto" w:fill="F2F2F2"/>
                <w:lang w:eastAsia="el-GR"/>
              </w:rPr>
              <w:t>MDS</w:t>
            </w:r>
            <w:r>
              <w:rPr>
                <w:rFonts w:eastAsia="Times New Roman"/>
                <w:i/>
                <w:sz w:val="20"/>
                <w:szCs w:val="24"/>
                <w:shd w:val="clear" w:color="auto" w:fill="F2F2F2"/>
                <w:lang w:val="bg-BG" w:eastAsia="el-GR"/>
              </w:rPr>
              <w:t>.</w:t>
            </w:r>
          </w:p>
          <w:p w:rsidR="00A5046A" w:rsidRDefault="00A5046A">
            <w:pPr>
              <w:shd w:val="clear" w:color="auto" w:fill="F2F2F2"/>
              <w:ind w:hanging="567"/>
              <w:contextualSpacing/>
              <w:jc w:val="both"/>
              <w:rPr>
                <w:rFonts w:eastAsia="Times New Roman"/>
                <w:i/>
                <w:sz w:val="24"/>
                <w:szCs w:val="24"/>
                <w:lang w:val="bg-BG" w:eastAsia="el-GR"/>
              </w:rPr>
            </w:pPr>
          </w:p>
          <w:p w:rsidR="00A5046A" w:rsidRDefault="00A5046A" w:rsidP="00882864">
            <w:pPr>
              <w:numPr>
                <w:ilvl w:val="0"/>
                <w:numId w:val="1"/>
              </w:numPr>
              <w:ind w:hanging="283"/>
              <w:contextualSpacing/>
              <w:jc w:val="both"/>
              <w:rPr>
                <w:rFonts w:eastAsia="Times New Roman"/>
                <w:szCs w:val="24"/>
                <w:lang w:val="bg-BG" w:eastAsia="el-GR"/>
              </w:rPr>
            </w:pPr>
            <w:r>
              <w:rPr>
                <w:rFonts w:eastAsia="Times New Roman"/>
                <w:szCs w:val="24"/>
                <w:lang w:val="bg-BG" w:eastAsia="el-GR"/>
              </w:rPr>
              <w:t xml:space="preserve">Операторът се свързва с Администратора на системата, за да получи псевдоним. </w:t>
            </w:r>
          </w:p>
          <w:p w:rsidR="00A5046A" w:rsidRDefault="00A5046A">
            <w:pPr>
              <w:contextualSpacing/>
              <w:jc w:val="both"/>
              <w:rPr>
                <w:rFonts w:eastAsia="Times New Roman"/>
                <w:szCs w:val="24"/>
                <w:lang w:val="bg-BG" w:eastAsia="el-GR"/>
              </w:rPr>
            </w:pPr>
          </w:p>
          <w:p w:rsidR="00A5046A" w:rsidRDefault="00A5046A" w:rsidP="00882864">
            <w:pPr>
              <w:numPr>
                <w:ilvl w:val="0"/>
                <w:numId w:val="1"/>
              </w:numPr>
              <w:ind w:hanging="283"/>
              <w:contextualSpacing/>
              <w:jc w:val="both"/>
              <w:rPr>
                <w:rFonts w:eastAsia="Times New Roman"/>
                <w:szCs w:val="24"/>
                <w:lang w:val="bg-BG" w:eastAsia="el-GR"/>
              </w:rPr>
            </w:pPr>
            <w:r>
              <w:rPr>
                <w:rFonts w:eastAsia="Times New Roman"/>
                <w:szCs w:val="24"/>
                <w:lang w:val="bg-BG" w:eastAsia="el-GR"/>
              </w:rPr>
              <w:t>След получаване на псевдонима, операторът влиза в системата, използвайки своето име и парола и преминава към регистриране на случая, като следва инструкциите в Ръководството и онлайн системата CAN-MDS, както следва:</w:t>
            </w:r>
          </w:p>
          <w:p w:rsidR="00A5046A" w:rsidRDefault="00A5046A" w:rsidP="00882864">
            <w:pPr>
              <w:numPr>
                <w:ilvl w:val="1"/>
                <w:numId w:val="1"/>
              </w:numPr>
              <w:ind w:hanging="425"/>
              <w:contextualSpacing/>
              <w:jc w:val="both"/>
              <w:rPr>
                <w:rFonts w:eastAsia="Times New Roman"/>
                <w:color w:val="70AD47"/>
                <w:szCs w:val="24"/>
                <w:lang w:val="bg-BG" w:eastAsia="el-GR"/>
              </w:rPr>
            </w:pPr>
            <w:r>
              <w:rPr>
                <w:rFonts w:eastAsia="Times New Roman"/>
                <w:color w:val="70AD47"/>
                <w:szCs w:val="24"/>
                <w:lang w:val="bg-BG" w:eastAsia="el-GR"/>
              </w:rPr>
              <w:t xml:space="preserve">Оператор: въвежда потребителско име и парола </w:t>
            </w:r>
          </w:p>
          <w:p w:rsidR="00A5046A" w:rsidRDefault="00A5046A" w:rsidP="00882864">
            <w:pPr>
              <w:numPr>
                <w:ilvl w:val="1"/>
                <w:numId w:val="1"/>
              </w:numPr>
              <w:ind w:hanging="425"/>
              <w:contextualSpacing/>
              <w:jc w:val="both"/>
              <w:rPr>
                <w:rFonts w:eastAsia="Times New Roman"/>
                <w:color w:val="ED7D31"/>
                <w:szCs w:val="24"/>
                <w:lang w:val="bg-BG" w:eastAsia="el-GR"/>
              </w:rPr>
            </w:pPr>
            <w:r>
              <w:rPr>
                <w:rFonts w:eastAsia="Times New Roman"/>
                <w:color w:val="ED7D31"/>
                <w:szCs w:val="24"/>
                <w:lang w:val="bg-BG" w:eastAsia="el-GR"/>
              </w:rPr>
              <w:t xml:space="preserve">Система: идентификационният </w:t>
            </w:r>
            <w:r>
              <w:rPr>
                <w:rFonts w:eastAsia="Times New Roman"/>
                <w:b/>
                <w:color w:val="ED7D31"/>
                <w:szCs w:val="24"/>
                <w:lang w:val="bg-BG" w:eastAsia="el-GR"/>
              </w:rPr>
              <w:t>код</w:t>
            </w:r>
            <w:r>
              <w:rPr>
                <w:rFonts w:eastAsia="Times New Roman"/>
                <w:color w:val="ED7D31"/>
                <w:szCs w:val="24"/>
                <w:lang w:val="bg-BG" w:eastAsia="el-GR"/>
              </w:rPr>
              <w:t xml:space="preserve"> на агенцията [</w:t>
            </w:r>
            <w:r>
              <w:rPr>
                <w:rFonts w:eastAsia="Times New Roman"/>
                <w:color w:val="ED7D31"/>
                <w:szCs w:val="24"/>
                <w:lang w:eastAsia="el-GR"/>
              </w:rPr>
              <w:t>R</w:t>
            </w:r>
            <w:r>
              <w:rPr>
                <w:rFonts w:eastAsia="Times New Roman"/>
                <w:color w:val="ED7D31"/>
                <w:szCs w:val="24"/>
                <w:lang w:val="bg-BG" w:eastAsia="el-GR"/>
              </w:rPr>
              <w:t>1] и оператора [</w:t>
            </w:r>
            <w:r>
              <w:rPr>
                <w:rFonts w:eastAsia="Times New Roman"/>
                <w:color w:val="ED7D31"/>
                <w:szCs w:val="24"/>
                <w:lang w:eastAsia="el-GR"/>
              </w:rPr>
              <w:t>R</w:t>
            </w:r>
            <w:r>
              <w:rPr>
                <w:rFonts w:eastAsia="Times New Roman"/>
                <w:color w:val="ED7D31"/>
                <w:szCs w:val="24"/>
                <w:lang w:val="bg-BG" w:eastAsia="el-GR"/>
              </w:rPr>
              <w:t>2] се попълват автоматично *</w:t>
            </w:r>
          </w:p>
          <w:p w:rsidR="00A5046A" w:rsidRDefault="00A5046A" w:rsidP="00882864">
            <w:pPr>
              <w:numPr>
                <w:ilvl w:val="1"/>
                <w:numId w:val="1"/>
              </w:numPr>
              <w:ind w:hanging="425"/>
              <w:contextualSpacing/>
              <w:jc w:val="both"/>
              <w:rPr>
                <w:rFonts w:eastAsia="Times New Roman"/>
                <w:color w:val="70AD47"/>
                <w:szCs w:val="24"/>
                <w:lang w:val="bg-BG" w:eastAsia="el-GR"/>
              </w:rPr>
            </w:pPr>
            <w:r>
              <w:rPr>
                <w:rFonts w:eastAsia="Times New Roman"/>
                <w:color w:val="70AD47"/>
                <w:szCs w:val="24"/>
                <w:lang w:val="bg-BG" w:eastAsia="el-GR"/>
              </w:rPr>
              <w:t xml:space="preserve">Оператор: въвежда идентификационен </w:t>
            </w:r>
            <w:r>
              <w:rPr>
                <w:rFonts w:eastAsia="Times New Roman"/>
                <w:b/>
                <w:color w:val="70AD47"/>
                <w:szCs w:val="24"/>
                <w:lang w:val="bg-BG" w:eastAsia="el-GR"/>
              </w:rPr>
              <w:t>код</w:t>
            </w:r>
            <w:r>
              <w:rPr>
                <w:rFonts w:eastAsia="Times New Roman"/>
                <w:color w:val="70AD47"/>
                <w:szCs w:val="24"/>
                <w:lang w:val="bg-BG" w:eastAsia="el-GR"/>
              </w:rPr>
              <w:t xml:space="preserve"> на детето (псевдоним) ** [C1]</w:t>
            </w:r>
          </w:p>
          <w:p w:rsidR="00A5046A" w:rsidRDefault="00A5046A" w:rsidP="00882864">
            <w:pPr>
              <w:numPr>
                <w:ilvl w:val="1"/>
                <w:numId w:val="1"/>
              </w:numPr>
              <w:ind w:hanging="425"/>
              <w:contextualSpacing/>
              <w:jc w:val="both"/>
              <w:rPr>
                <w:rFonts w:eastAsia="Times New Roman"/>
                <w:color w:val="ED7D31"/>
                <w:szCs w:val="24"/>
                <w:lang w:val="bg-BG" w:eastAsia="el-GR"/>
              </w:rPr>
            </w:pPr>
            <w:r>
              <w:rPr>
                <w:rFonts w:eastAsia="Times New Roman"/>
                <w:color w:val="ED7D31"/>
                <w:szCs w:val="24"/>
                <w:lang w:val="bg-BG" w:eastAsia="el-GR"/>
              </w:rPr>
              <w:t>Система: датата на запис [</w:t>
            </w:r>
            <w:r>
              <w:rPr>
                <w:rFonts w:eastAsia="Times New Roman"/>
                <w:color w:val="ED7D31"/>
                <w:szCs w:val="24"/>
                <w:lang w:eastAsia="el-GR"/>
              </w:rPr>
              <w:t>R</w:t>
            </w:r>
            <w:r>
              <w:rPr>
                <w:rFonts w:eastAsia="Times New Roman"/>
                <w:color w:val="ED7D31"/>
                <w:szCs w:val="24"/>
                <w:lang w:val="bg-BG" w:eastAsia="el-GR"/>
              </w:rPr>
              <w:t>3] се попълва автоматично</w:t>
            </w:r>
          </w:p>
          <w:p w:rsidR="00A5046A" w:rsidRDefault="00A5046A" w:rsidP="00882864">
            <w:pPr>
              <w:numPr>
                <w:ilvl w:val="1"/>
                <w:numId w:val="1"/>
              </w:numPr>
              <w:ind w:hanging="425"/>
              <w:contextualSpacing/>
              <w:jc w:val="both"/>
              <w:rPr>
                <w:rFonts w:eastAsia="Times New Roman"/>
                <w:color w:val="70AD47"/>
                <w:szCs w:val="24"/>
                <w:lang w:val="bg-BG" w:eastAsia="el-GR"/>
              </w:rPr>
            </w:pPr>
            <w:r>
              <w:rPr>
                <w:rFonts w:eastAsia="Times New Roman"/>
                <w:color w:val="70AD47"/>
                <w:szCs w:val="24"/>
                <w:lang w:val="bg-BG" w:eastAsia="el-GR"/>
              </w:rPr>
              <w:t>Оператор: въвежда дата на инцидента [I2]</w:t>
            </w:r>
          </w:p>
          <w:p w:rsidR="00A5046A" w:rsidRDefault="00A5046A" w:rsidP="00882864">
            <w:pPr>
              <w:numPr>
                <w:ilvl w:val="1"/>
                <w:numId w:val="1"/>
              </w:numPr>
              <w:ind w:hanging="425"/>
              <w:contextualSpacing/>
              <w:jc w:val="both"/>
              <w:rPr>
                <w:rFonts w:eastAsia="Times New Roman"/>
                <w:color w:val="ED7D31"/>
                <w:szCs w:val="24"/>
                <w:lang w:val="bg-BG" w:eastAsia="el-GR"/>
              </w:rPr>
            </w:pPr>
            <w:r>
              <w:rPr>
                <w:rFonts w:eastAsia="Times New Roman"/>
                <w:color w:val="ED7D31"/>
                <w:szCs w:val="24"/>
                <w:lang w:val="bg-BG" w:eastAsia="el-GR"/>
              </w:rPr>
              <w:t>Система: генерира автоматично идентификационен код на инцидента [I1] ***</w:t>
            </w:r>
          </w:p>
          <w:p w:rsidR="00A5046A" w:rsidRDefault="00A5046A" w:rsidP="00882864">
            <w:pPr>
              <w:numPr>
                <w:ilvl w:val="1"/>
                <w:numId w:val="1"/>
              </w:numPr>
              <w:ind w:hanging="425"/>
              <w:contextualSpacing/>
              <w:jc w:val="both"/>
              <w:rPr>
                <w:rFonts w:eastAsia="Times New Roman"/>
                <w:color w:val="70AD47"/>
                <w:szCs w:val="24"/>
                <w:lang w:val="bg-BG" w:eastAsia="el-GR"/>
              </w:rPr>
            </w:pPr>
            <w:r>
              <w:rPr>
                <w:rFonts w:eastAsia="Times New Roman"/>
                <w:color w:val="70AD47"/>
                <w:szCs w:val="24"/>
                <w:lang w:val="bg-BG" w:eastAsia="el-GR"/>
              </w:rPr>
              <w:t>Оператор: посочва източника на информация [R4]</w:t>
            </w:r>
          </w:p>
          <w:p w:rsidR="00A5046A" w:rsidRDefault="00A5046A" w:rsidP="00882864">
            <w:pPr>
              <w:numPr>
                <w:ilvl w:val="1"/>
                <w:numId w:val="1"/>
              </w:numPr>
              <w:ind w:hanging="425"/>
              <w:contextualSpacing/>
              <w:jc w:val="both"/>
              <w:rPr>
                <w:rFonts w:eastAsia="Times New Roman"/>
                <w:color w:val="70AD47"/>
                <w:szCs w:val="24"/>
                <w:lang w:val="bg-BG" w:eastAsia="el-GR"/>
              </w:rPr>
            </w:pPr>
            <w:r>
              <w:rPr>
                <w:rFonts w:eastAsia="Times New Roman"/>
                <w:color w:val="70AD47"/>
                <w:szCs w:val="24"/>
                <w:lang w:val="bg-BG" w:eastAsia="el-GR"/>
              </w:rPr>
              <w:t>Оператор: посочва формата/формите на малтретиране [I3]</w:t>
            </w:r>
          </w:p>
          <w:p w:rsidR="00A5046A" w:rsidRDefault="00A5046A" w:rsidP="00882864">
            <w:pPr>
              <w:numPr>
                <w:ilvl w:val="1"/>
                <w:numId w:val="1"/>
              </w:numPr>
              <w:ind w:hanging="425"/>
              <w:contextualSpacing/>
              <w:jc w:val="both"/>
              <w:rPr>
                <w:rFonts w:eastAsia="Times New Roman"/>
                <w:color w:val="70AD47"/>
                <w:szCs w:val="24"/>
                <w:lang w:val="bg-BG" w:eastAsia="el-GR"/>
              </w:rPr>
            </w:pPr>
            <w:r>
              <w:rPr>
                <w:rFonts w:eastAsia="Times New Roman"/>
                <w:color w:val="70AD47"/>
                <w:szCs w:val="24"/>
                <w:lang w:val="bg-BG" w:eastAsia="el-GR"/>
              </w:rPr>
              <w:t>Оператор: посочва мястото на инцидента [I4]</w:t>
            </w:r>
          </w:p>
          <w:p w:rsidR="00A5046A" w:rsidRDefault="00A5046A" w:rsidP="00882864">
            <w:pPr>
              <w:numPr>
                <w:ilvl w:val="1"/>
                <w:numId w:val="1"/>
              </w:numPr>
              <w:ind w:hanging="425"/>
              <w:contextualSpacing/>
              <w:jc w:val="both"/>
              <w:rPr>
                <w:rFonts w:eastAsia="Times New Roman"/>
                <w:color w:val="70AD47"/>
                <w:szCs w:val="24"/>
                <w:lang w:val="bg-BG" w:eastAsia="el-GR"/>
              </w:rPr>
            </w:pPr>
            <w:r>
              <w:rPr>
                <w:rFonts w:eastAsia="Times New Roman"/>
                <w:color w:val="70AD47"/>
                <w:szCs w:val="24"/>
                <w:lang w:val="bg-BG" w:eastAsia="el-GR"/>
              </w:rPr>
              <w:t xml:space="preserve">Оператор: въвежда пол на детето [C2], дата на раждане [C3]и гражданство [C4] </w:t>
            </w:r>
          </w:p>
          <w:p w:rsidR="00A5046A" w:rsidRDefault="00A5046A" w:rsidP="00882864">
            <w:pPr>
              <w:numPr>
                <w:ilvl w:val="1"/>
                <w:numId w:val="1"/>
              </w:numPr>
              <w:ind w:hanging="425"/>
              <w:contextualSpacing/>
              <w:jc w:val="both"/>
              <w:rPr>
                <w:rFonts w:eastAsia="Times New Roman"/>
                <w:color w:val="70AD47"/>
                <w:szCs w:val="24"/>
                <w:lang w:val="bg-BG" w:eastAsia="el-GR"/>
              </w:rPr>
            </w:pPr>
            <w:r>
              <w:rPr>
                <w:rFonts w:eastAsia="Times New Roman"/>
                <w:color w:val="70AD47"/>
                <w:szCs w:val="24"/>
                <w:lang w:val="bg-BG" w:eastAsia="el-GR"/>
              </w:rPr>
              <w:lastRenderedPageBreak/>
              <w:t>Оператор: посочва членовете/състава на семейството [F1] и връзката на основния/прекия попечител/настойник с детето [F2], за прекия/основния попечител/настойник се записва пол [F3] и дата на раждане [F4]</w:t>
            </w:r>
          </w:p>
          <w:p w:rsidR="00A5046A" w:rsidRDefault="00A5046A" w:rsidP="00882864">
            <w:pPr>
              <w:numPr>
                <w:ilvl w:val="1"/>
                <w:numId w:val="1"/>
              </w:numPr>
              <w:ind w:hanging="425"/>
              <w:contextualSpacing/>
              <w:jc w:val="both"/>
              <w:rPr>
                <w:rFonts w:eastAsia="Times New Roman"/>
                <w:color w:val="70AD47"/>
                <w:szCs w:val="24"/>
                <w:lang w:val="bg-BG" w:eastAsia="el-GR"/>
              </w:rPr>
            </w:pPr>
            <w:r>
              <w:rPr>
                <w:rFonts w:eastAsia="Times New Roman"/>
                <w:color w:val="70AD47"/>
                <w:szCs w:val="24"/>
                <w:lang w:val="bg-BG" w:eastAsia="el-GR"/>
              </w:rPr>
              <w:t xml:space="preserve">Оператор въвежда отговора на институцията [S1] </w:t>
            </w:r>
          </w:p>
          <w:p w:rsidR="00A5046A" w:rsidRDefault="00A5046A" w:rsidP="00882864">
            <w:pPr>
              <w:numPr>
                <w:ilvl w:val="1"/>
                <w:numId w:val="1"/>
              </w:numPr>
              <w:ind w:hanging="425"/>
              <w:contextualSpacing/>
              <w:jc w:val="both"/>
              <w:rPr>
                <w:rFonts w:eastAsia="Times New Roman"/>
                <w:color w:val="70AD47"/>
                <w:szCs w:val="24"/>
                <w:lang w:val="bg-BG" w:eastAsia="el-GR"/>
              </w:rPr>
            </w:pPr>
            <w:r>
              <w:rPr>
                <w:rFonts w:eastAsia="Times New Roman"/>
                <w:color w:val="70AD47"/>
                <w:szCs w:val="24"/>
                <w:lang w:val="bg-BG" w:eastAsia="el-GR"/>
              </w:rPr>
              <w:t>Оператор: посочва докладите, отправени към службите [S2]; Система: автоматично изпраща известия до съответните служби</w:t>
            </w:r>
          </w:p>
          <w:p w:rsidR="00A5046A" w:rsidRDefault="00A5046A" w:rsidP="00882864">
            <w:pPr>
              <w:numPr>
                <w:ilvl w:val="1"/>
                <w:numId w:val="1"/>
              </w:numPr>
              <w:ind w:hanging="425"/>
              <w:contextualSpacing/>
              <w:jc w:val="both"/>
              <w:rPr>
                <w:rFonts w:eastAsia="Times New Roman"/>
                <w:color w:val="70AD47"/>
                <w:szCs w:val="24"/>
                <w:lang w:val="bg-BG" w:eastAsia="el-GR"/>
              </w:rPr>
            </w:pPr>
            <w:r>
              <w:rPr>
                <w:rFonts w:eastAsia="Times New Roman"/>
                <w:szCs w:val="24"/>
                <w:lang w:val="bg-BG" w:eastAsia="el-GR"/>
              </w:rPr>
              <w:t xml:space="preserve">Преглед, запазване и регистриране на записа [при необходимост; отпечатване на доклада за Вашия архив]. </w:t>
            </w:r>
          </w:p>
        </w:tc>
      </w:tr>
    </w:tbl>
    <w:p w:rsidR="00A5046A" w:rsidRDefault="00A5046A" w:rsidP="00A5046A">
      <w:pPr>
        <w:jc w:val="center"/>
      </w:pPr>
    </w:p>
    <w:tbl>
      <w:tblPr>
        <w:tblStyle w:val="TableGrid1"/>
        <w:tblW w:w="10395"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395"/>
      </w:tblGrid>
      <w:tr w:rsidR="00A5046A" w:rsidTr="00A5046A">
        <w:trPr>
          <w:trHeight w:val="1440"/>
        </w:trPr>
        <w:tc>
          <w:tcPr>
            <w:tcW w:w="10394" w:type="dxa"/>
            <w:shd w:val="clear" w:color="auto" w:fill="F2F2F2" w:themeFill="background1" w:themeFillShade="F2"/>
            <w:hideMark/>
          </w:tcPr>
          <w:p w:rsidR="00A5046A" w:rsidRDefault="00A5046A">
            <w:pPr>
              <w:tabs>
                <w:tab w:val="center" w:pos="4859"/>
              </w:tabs>
              <w:ind w:hanging="459"/>
              <w:jc w:val="both"/>
              <w:rPr>
                <w:i/>
                <w:sz w:val="18"/>
                <w:lang w:val="bg-BG"/>
              </w:rPr>
            </w:pPr>
            <w:r>
              <w:rPr>
                <w:i/>
                <w:sz w:val="18"/>
                <w:lang w:val="bg-BG"/>
              </w:rPr>
              <w:t xml:space="preserve">   </w:t>
            </w:r>
            <w:r>
              <w:rPr>
                <w:i/>
                <w:sz w:val="18"/>
                <w:lang w:val="bg-BG"/>
              </w:rPr>
              <w:tab/>
              <w:t>Бележки</w:t>
            </w:r>
          </w:p>
          <w:p w:rsidR="00A5046A" w:rsidRDefault="00A5046A">
            <w:pPr>
              <w:ind w:hanging="459"/>
              <w:jc w:val="both"/>
              <w:rPr>
                <w:i/>
                <w:sz w:val="16"/>
                <w:szCs w:val="16"/>
                <w:lang w:val="bg-BG"/>
              </w:rPr>
            </w:pPr>
            <w:r>
              <w:rPr>
                <w:i/>
                <w:sz w:val="18"/>
                <w:lang w:val="bg-BG"/>
              </w:rPr>
              <w:t xml:space="preserve">* </w:t>
            </w:r>
            <w:r>
              <w:rPr>
                <w:i/>
                <w:sz w:val="18"/>
                <w:lang w:val="bg-BG"/>
              </w:rPr>
              <w:tab/>
              <w:t>*</w:t>
            </w:r>
            <w:r>
              <w:rPr>
                <w:i/>
                <w:sz w:val="16"/>
                <w:szCs w:val="16"/>
                <w:lang w:val="bg-BG"/>
              </w:rPr>
              <w:t xml:space="preserve">Операторът проверява верността на информацията; в случай, че е необходима актуализация, операторът трябва да се обърне към Националния администратор </w:t>
            </w:r>
          </w:p>
          <w:p w:rsidR="00A5046A" w:rsidRDefault="00A5046A">
            <w:pPr>
              <w:ind w:hanging="459"/>
              <w:jc w:val="both"/>
              <w:rPr>
                <w:i/>
                <w:sz w:val="16"/>
                <w:szCs w:val="16"/>
                <w:lang w:val="bg-BG"/>
              </w:rPr>
            </w:pPr>
            <w:r>
              <w:rPr>
                <w:i/>
                <w:sz w:val="16"/>
                <w:szCs w:val="16"/>
                <w:lang w:val="bg-BG"/>
              </w:rPr>
              <w:t xml:space="preserve">** </w:t>
            </w:r>
            <w:r>
              <w:rPr>
                <w:i/>
                <w:sz w:val="16"/>
                <w:szCs w:val="16"/>
                <w:lang w:val="bg-BG"/>
              </w:rPr>
              <w:tab/>
              <w:t xml:space="preserve">**Ако детето е известно, то системата разпознава неговия псевдоним и информира оператора; в такъв случй операторът може да види наличната информация за предишни инциденти, според неговото/нейното ниво на достъп </w:t>
            </w:r>
          </w:p>
          <w:p w:rsidR="00A5046A" w:rsidRDefault="00A5046A">
            <w:pPr>
              <w:ind w:hanging="459"/>
              <w:jc w:val="both"/>
              <w:rPr>
                <w:i/>
                <w:sz w:val="18"/>
                <w:lang w:val="bg-BG"/>
              </w:rPr>
            </w:pPr>
            <w:r>
              <w:rPr>
                <w:i/>
                <w:sz w:val="16"/>
                <w:szCs w:val="16"/>
                <w:lang w:val="bg-BG"/>
              </w:rPr>
              <w:t xml:space="preserve">*** </w:t>
            </w:r>
            <w:r>
              <w:rPr>
                <w:i/>
                <w:sz w:val="16"/>
                <w:szCs w:val="16"/>
                <w:lang w:val="bg-BG"/>
              </w:rPr>
              <w:tab/>
              <w:t>***Ако системата разпознае кода на инцидента  като вече познат, тогава операторът получава известие, че инцидентът е вече записан от друг оператор в неговата  агенция или друга служба.</w:t>
            </w:r>
          </w:p>
        </w:tc>
      </w:tr>
    </w:tbl>
    <w:p w:rsidR="00A5046A" w:rsidRDefault="00A5046A" w:rsidP="00A5046A">
      <w:pPr>
        <w:spacing w:after="160" w:line="256" w:lineRule="auto"/>
        <w:rPr>
          <w:lang w:val="ru-RU"/>
        </w:rPr>
      </w:pPr>
    </w:p>
    <w:p w:rsidR="008F1AD6" w:rsidRDefault="008F1AD6">
      <w:r>
        <w:br w:type="page"/>
      </w:r>
    </w:p>
    <w:p w:rsidR="008F1AD6" w:rsidRPr="008F1AD6" w:rsidRDefault="008F1AD6" w:rsidP="008F1AD6">
      <w:pPr>
        <w:tabs>
          <w:tab w:val="center" w:pos="4152"/>
          <w:tab w:val="right" w:pos="8305"/>
        </w:tabs>
        <w:jc w:val="center"/>
        <w:rPr>
          <w:sz w:val="24"/>
          <w:szCs w:val="24"/>
        </w:rPr>
      </w:pPr>
      <w:r w:rsidRPr="008F1AD6">
        <w:rPr>
          <w:rFonts w:ascii="Agency FB" w:hAnsi="Agency FB"/>
          <w:color w:val="595959"/>
          <w:kern w:val="24"/>
          <w:sz w:val="20"/>
          <w:szCs w:val="20"/>
        </w:rPr>
        <w:lastRenderedPageBreak/>
        <w:t xml:space="preserve">“Coordinated Response to Child Abuse &amp; Neglect via Minimum Data Set: </w:t>
      </w:r>
      <w:r w:rsidRPr="008F1AD6">
        <w:rPr>
          <w:rFonts w:ascii="Agency FB" w:hAnsi="Agency FB"/>
          <w:i/>
          <w:iCs/>
          <w:color w:val="595959"/>
          <w:kern w:val="24"/>
          <w:sz w:val="20"/>
          <w:szCs w:val="20"/>
        </w:rPr>
        <w:t>from planning to practice</w:t>
      </w:r>
      <w:r w:rsidRPr="008F1AD6">
        <w:rPr>
          <w:rFonts w:ascii="Agency FB" w:hAnsi="Agency FB"/>
          <w:color w:val="595959"/>
          <w:kern w:val="24"/>
          <w:sz w:val="20"/>
          <w:szCs w:val="20"/>
        </w:rPr>
        <w:t>” [GA Nr: 810508 — CAN-MDS II — Funded by EU REC Programme 2014-2020]</w:t>
      </w:r>
    </w:p>
    <w:p w:rsidR="008F1AD6" w:rsidRPr="008F1AD6" w:rsidRDefault="008F1AD6" w:rsidP="008F1AD6">
      <w:pPr>
        <w:jc w:val="center"/>
      </w:pPr>
      <w:r w:rsidRPr="008F1AD6">
        <w:rPr>
          <w:noProof/>
          <w:lang w:val="en-GB" w:eastAsia="en-GB"/>
        </w:rPr>
        <w:drawing>
          <wp:inline distT="0" distB="0" distL="0" distR="0" wp14:anchorId="1BDC1A4A" wp14:editId="65E94559">
            <wp:extent cx="2915920" cy="508000"/>
            <wp:effectExtent l="0" t="0" r="0" b="6350"/>
            <wp:docPr id="1" name="Picture 2">
              <a:extLst xmlns:a="http://schemas.openxmlformats.org/drawingml/2006/main">
                <a:ext uri="{FF2B5EF4-FFF2-40B4-BE49-F238E27FC236}">
                  <a16:creationId xmlns:arto="http://schemas.microsoft.com/office/word/2006/arto" xmlns:ve="http://schemas.openxmlformats.org/markup-compatibility/2006"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lc="http://schemas.openxmlformats.org/drawingml/2006/lockedCanvas" id="{16951CF4-060D-2540-83B1-A24AA7181C5A}"/>
                </a:ext>
              </a:extLst>
            </wp:docPr>
            <wp:cNvGraphicFramePr/>
            <a:graphic xmlns:a="http://schemas.openxmlformats.org/drawingml/2006/main">
              <a:graphicData uri="http://schemas.openxmlformats.org/drawingml/2006/picture">
                <pic:pic xmlns:pic="http://schemas.openxmlformats.org/drawingml/2006/picture">
                  <pic:nvPicPr>
                    <pic:cNvPr id="12" name="Picture 2">
                      <a:extLst>
                        <a:ext uri="{FF2B5EF4-FFF2-40B4-BE49-F238E27FC236}">
                          <a16:creationId xmlns:arto="http://schemas.microsoft.com/office/word/2006/arto" xmlns:ve="http://schemas.openxmlformats.org/markup-compatibility/2006"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lc="http://schemas.openxmlformats.org/drawingml/2006/lockedCanvas" id="{16951CF4-060D-2540-83B1-A24AA7181C5A}"/>
                        </a:ext>
                      </a:extLst>
                    </pic:cNvPr>
                    <pic:cNvPicPr/>
                  </pic:nvPicPr>
                  <pic:blipFill>
                    <a:blip r:embed="rId6" cstate="print"/>
                    <a:srcRect/>
                    <a:stretch>
                      <a:fillRect/>
                    </a:stretch>
                  </pic:blipFill>
                  <pic:spPr bwMode="auto">
                    <a:xfrm>
                      <a:off x="0" y="0"/>
                      <a:ext cx="2915920" cy="508000"/>
                    </a:xfrm>
                    <a:prstGeom prst="rect">
                      <a:avLst/>
                    </a:prstGeom>
                    <a:noFill/>
                    <a:ln w="9525">
                      <a:noFill/>
                      <a:miter lim="800000"/>
                      <a:headEnd/>
                      <a:tailEnd/>
                    </a:ln>
                  </pic:spPr>
                </pic:pic>
              </a:graphicData>
            </a:graphic>
          </wp:inline>
        </w:drawing>
      </w:r>
    </w:p>
    <w:p w:rsidR="008F1AD6" w:rsidRPr="008F1AD6" w:rsidRDefault="008F1AD6" w:rsidP="008F1AD6">
      <w:pPr>
        <w:spacing w:after="160" w:line="256" w:lineRule="auto"/>
        <w:rPr>
          <w:sz w:val="2"/>
          <w:lang w:val="ru-RU"/>
        </w:rPr>
      </w:pPr>
    </w:p>
    <w:tbl>
      <w:tblPr>
        <w:tblStyle w:val="TableGrid1"/>
        <w:tblW w:w="99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60"/>
      </w:tblGrid>
      <w:tr w:rsidR="008F1AD6" w:rsidRPr="008F1AD6" w:rsidTr="00882864">
        <w:tc>
          <w:tcPr>
            <w:tcW w:w="9962" w:type="dxa"/>
            <w:shd w:val="clear" w:color="auto" w:fill="4F81BD" w:themeFill="accent1"/>
            <w:hideMark/>
          </w:tcPr>
          <w:p w:rsidR="008F1AD6" w:rsidRPr="008F1AD6" w:rsidRDefault="008F1AD6" w:rsidP="008F1AD6">
            <w:pPr>
              <w:keepNext/>
              <w:keepLines/>
              <w:outlineLvl w:val="2"/>
              <w:rPr>
                <w:rFonts w:ascii="Calibri Light" w:eastAsia="Times New Roman" w:hAnsi="Calibri Light"/>
                <w:color w:val="FFFFFF"/>
                <w:sz w:val="20"/>
                <w:szCs w:val="24"/>
                <w:lang w:val="ru-RU"/>
              </w:rPr>
            </w:pPr>
            <w:bookmarkStart w:id="1" w:name="_Toc47963638"/>
            <w:r w:rsidRPr="008F1AD6">
              <w:rPr>
                <w:rFonts w:ascii="Calibri Light" w:eastAsia="Times New Roman" w:hAnsi="Calibri Light"/>
                <w:color w:val="FFFFFF"/>
                <w:sz w:val="24"/>
                <w:szCs w:val="24"/>
                <w:lang w:val="ru-RU"/>
              </w:rPr>
              <w:t xml:space="preserve">Предложени въпроси за събиране на необходимата информация за системата </w:t>
            </w:r>
            <w:r w:rsidRPr="008F1AD6">
              <w:rPr>
                <w:rFonts w:ascii="Calibri Light" w:eastAsia="Times New Roman" w:hAnsi="Calibri Light"/>
                <w:color w:val="FFFFFF"/>
                <w:sz w:val="24"/>
                <w:szCs w:val="24"/>
              </w:rPr>
              <w:t>CAN</w:t>
            </w:r>
            <w:r w:rsidRPr="008F1AD6">
              <w:rPr>
                <w:rFonts w:ascii="Calibri Light" w:eastAsia="Times New Roman" w:hAnsi="Calibri Light"/>
                <w:color w:val="FFFFFF"/>
                <w:sz w:val="24"/>
                <w:szCs w:val="24"/>
                <w:lang w:val="ru-RU"/>
              </w:rPr>
              <w:t>-</w:t>
            </w:r>
            <w:r w:rsidRPr="008F1AD6">
              <w:rPr>
                <w:rFonts w:ascii="Calibri Light" w:eastAsia="Times New Roman" w:hAnsi="Calibri Light"/>
                <w:color w:val="FFFFFF"/>
                <w:sz w:val="24"/>
                <w:szCs w:val="24"/>
              </w:rPr>
              <w:t>MDS</w:t>
            </w:r>
            <w:bookmarkEnd w:id="1"/>
          </w:p>
        </w:tc>
      </w:tr>
    </w:tbl>
    <w:p w:rsidR="008F1AD6" w:rsidRPr="008F1AD6" w:rsidRDefault="008F1AD6" w:rsidP="008F1AD6">
      <w:pPr>
        <w:spacing w:after="0" w:line="240" w:lineRule="auto"/>
        <w:rPr>
          <w:sz w:val="20"/>
          <w:szCs w:val="20"/>
          <w:lang w:val="bg-BG"/>
        </w:rPr>
      </w:pPr>
      <w:r w:rsidRPr="008F1AD6">
        <w:rPr>
          <w:b/>
          <w:sz w:val="20"/>
          <w:szCs w:val="20"/>
          <w:lang w:val="bg-BG"/>
        </w:rPr>
        <w:t>Бележка</w:t>
      </w:r>
      <w:r w:rsidRPr="008F1AD6">
        <w:rPr>
          <w:sz w:val="20"/>
          <w:szCs w:val="20"/>
          <w:lang w:val="bg-BG"/>
        </w:rPr>
        <w:t>.</w:t>
      </w:r>
      <w:r w:rsidRPr="008F1AD6">
        <w:rPr>
          <w:sz w:val="20"/>
          <w:szCs w:val="20"/>
          <w:lang w:val="ru-RU"/>
        </w:rPr>
        <w:t xml:space="preserve"> Последователността и формулирането на въпроси могат да се променят в зависимост от случая и от това, което източникът на информация вече </w:t>
      </w:r>
      <w:r w:rsidRPr="008F1AD6">
        <w:rPr>
          <w:sz w:val="20"/>
          <w:szCs w:val="20"/>
          <w:lang w:val="bg-BG"/>
        </w:rPr>
        <w:t xml:space="preserve">е </w:t>
      </w:r>
      <w:r w:rsidRPr="008F1AD6">
        <w:rPr>
          <w:sz w:val="20"/>
          <w:szCs w:val="20"/>
          <w:lang w:val="ru-RU"/>
        </w:rPr>
        <w:t>спомена</w:t>
      </w:r>
      <w:r w:rsidRPr="008F1AD6">
        <w:rPr>
          <w:sz w:val="20"/>
          <w:szCs w:val="20"/>
          <w:lang w:val="bg-BG"/>
        </w:rPr>
        <w:t>л</w:t>
      </w:r>
      <w:r w:rsidRPr="008F1AD6">
        <w:rPr>
          <w:sz w:val="20"/>
          <w:szCs w:val="20"/>
          <w:lang w:val="ru-RU"/>
        </w:rPr>
        <w:t xml:space="preserve">.  </w:t>
      </w:r>
    </w:p>
    <w:p w:rsidR="008F1AD6" w:rsidRPr="008F1AD6" w:rsidRDefault="008F1AD6" w:rsidP="008F1AD6">
      <w:pPr>
        <w:spacing w:after="0" w:line="240" w:lineRule="auto"/>
        <w:rPr>
          <w:lang w:val="bg-BG"/>
        </w:rPr>
      </w:pPr>
    </w:p>
    <w:tbl>
      <w:tblPr>
        <w:tblStyle w:val="TableGrid1"/>
        <w:tblW w:w="99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28"/>
        <w:gridCol w:w="990"/>
        <w:gridCol w:w="7962"/>
        <w:gridCol w:w="180"/>
      </w:tblGrid>
      <w:tr w:rsidR="008F1AD6" w:rsidRPr="008F1AD6" w:rsidTr="00882864">
        <w:trPr>
          <w:gridAfter w:val="1"/>
          <w:wAfter w:w="180" w:type="dxa"/>
        </w:trPr>
        <w:tc>
          <w:tcPr>
            <w:tcW w:w="828" w:type="dxa"/>
          </w:tcPr>
          <w:p w:rsidR="008F1AD6" w:rsidRPr="008F1AD6" w:rsidRDefault="008F1AD6" w:rsidP="008F1AD6">
            <w:pPr>
              <w:jc w:val="right"/>
              <w:rPr>
                <w:rFonts w:ascii="Calibri Light" w:hAnsi="Calibri Light"/>
                <w:b/>
                <w:iCs/>
                <w:color w:val="323E4F"/>
                <w:sz w:val="28"/>
                <w:lang w:val="ru-RU"/>
              </w:rPr>
            </w:pPr>
          </w:p>
        </w:tc>
        <w:tc>
          <w:tcPr>
            <w:tcW w:w="8954" w:type="dxa"/>
            <w:gridSpan w:val="2"/>
          </w:tcPr>
          <w:p w:rsidR="008F1AD6" w:rsidRPr="008F1AD6" w:rsidRDefault="008F1AD6" w:rsidP="008F1AD6">
            <w:pPr>
              <w:rPr>
                <w:sz w:val="20"/>
                <w:lang w:val="bg-BG"/>
              </w:rPr>
            </w:pPr>
            <w:r w:rsidRPr="008F1AD6">
              <w:rPr>
                <w:b/>
                <w:sz w:val="20"/>
                <w:lang w:val="bg-BG"/>
              </w:rPr>
              <w:t>ОПЕРАТОР</w:t>
            </w:r>
            <w:r w:rsidRPr="008F1AD6">
              <w:rPr>
                <w:b/>
                <w:sz w:val="20"/>
                <w:lang w:val="ru-RU"/>
              </w:rPr>
              <w:t xml:space="preserve">: </w:t>
            </w:r>
            <w:r w:rsidRPr="008F1AD6">
              <w:rPr>
                <w:sz w:val="20"/>
                <w:lang w:val="ru-RU"/>
              </w:rPr>
              <w:t xml:space="preserve">Освен своята професионална идентичност, представете се и като оператор на </w:t>
            </w:r>
            <w:r w:rsidRPr="008F1AD6">
              <w:rPr>
                <w:sz w:val="20"/>
              </w:rPr>
              <w:t>CAN</w:t>
            </w:r>
            <w:r w:rsidRPr="008F1AD6">
              <w:rPr>
                <w:sz w:val="20"/>
                <w:lang w:val="ru-RU"/>
              </w:rPr>
              <w:t>-</w:t>
            </w:r>
            <w:r w:rsidRPr="008F1AD6">
              <w:rPr>
                <w:sz w:val="20"/>
              </w:rPr>
              <w:t>MDS</w:t>
            </w:r>
            <w:r w:rsidRPr="008F1AD6">
              <w:rPr>
                <w:sz w:val="20"/>
                <w:lang w:val="ru-RU"/>
              </w:rPr>
              <w:t xml:space="preserve">. Обяснете причината, поради която ще зададете допълнителни въпроси и насърчете източника на информация да предостави колкото е възможно повече подробности: </w:t>
            </w:r>
          </w:p>
          <w:p w:rsidR="008F1AD6" w:rsidRPr="008F1AD6" w:rsidRDefault="008F1AD6" w:rsidP="008F1AD6">
            <w:pPr>
              <w:rPr>
                <w:color w:val="44546A"/>
                <w:sz w:val="20"/>
                <w:lang w:val="bg-BG"/>
              </w:rPr>
            </w:pPr>
            <w:r w:rsidRPr="008F1AD6">
              <w:rPr>
                <w:color w:val="44546A"/>
                <w:sz w:val="20"/>
                <w:lang w:val="bg-BG"/>
              </w:rPr>
              <w:t>„За по-ефективната координация на нашите усилия за защита на детето част от информацията, която ни предоставяте, ще бъде записана в системата; по този начин ще имаме възможността да видим дали детето е имало подобни проблеми в миналото и в същото време други специалисти-агенции ще бъдат запознати със случая. Не на последно място чрез записи като този успяваме да следим редовно проблема с малтретирането на деца и да придобием знания, за да прилагаме по-ефективни превантивни стратегии “.</w:t>
            </w:r>
          </w:p>
          <w:p w:rsidR="008F1AD6" w:rsidRPr="008F1AD6" w:rsidRDefault="008F1AD6" w:rsidP="008F1AD6">
            <w:pPr>
              <w:rPr>
                <w:color w:val="44546A"/>
                <w:sz w:val="20"/>
                <w:lang w:val="bg-BG"/>
              </w:rPr>
            </w:pPr>
          </w:p>
          <w:p w:rsidR="008F1AD6" w:rsidRPr="008F1AD6" w:rsidRDefault="008F1AD6" w:rsidP="008F1AD6">
            <w:pPr>
              <w:rPr>
                <w:i/>
                <w:color w:val="000000"/>
                <w:sz w:val="20"/>
                <w:lang w:val="bg-BG"/>
              </w:rPr>
            </w:pPr>
            <w:r w:rsidRPr="008F1AD6">
              <w:rPr>
                <w:i/>
                <w:color w:val="000000"/>
                <w:sz w:val="20"/>
                <w:lang w:val="bg-BG"/>
              </w:rPr>
              <w:t>По отношение на проблемите с конфиденциалността бих искал да Ви уведомя, че CAN-MDS е в съответствие с действащото законодателство и освен това информацията, която трябва да бъде записана за инцидента, за който обсъждаме, е кодирана и се, така че никой от включените лица (вие, детето или полагащите грижи) не може да бъдеидентифициран от неупълномощени страни.</w:t>
            </w:r>
          </w:p>
          <w:p w:rsidR="008F1AD6" w:rsidRPr="008F1AD6" w:rsidRDefault="008F1AD6" w:rsidP="008F1AD6">
            <w:pPr>
              <w:rPr>
                <w:i/>
                <w:color w:val="000000"/>
                <w:sz w:val="20"/>
                <w:lang w:val="bg-BG"/>
              </w:rPr>
            </w:pPr>
          </w:p>
          <w:p w:rsidR="008F1AD6" w:rsidRPr="008F1AD6" w:rsidRDefault="008F1AD6" w:rsidP="008F1AD6">
            <w:pPr>
              <w:rPr>
                <w:i/>
                <w:color w:val="000000"/>
                <w:sz w:val="20"/>
                <w:lang w:val="bg-BG"/>
              </w:rPr>
            </w:pPr>
            <w:r w:rsidRPr="008F1AD6">
              <w:rPr>
                <w:i/>
                <w:color w:val="000000"/>
                <w:sz w:val="20"/>
                <w:lang w:val="bg-BG"/>
              </w:rPr>
              <w:t>Ако източник на информация не разбира необходимостта от предоставяне на конкретна информация, причините могат да бъдат обяснени отново (а именно за по-ефективна намеса в случая); ако той се колебае дали да даде името или друга информация за детето, трябва да се подчертае, че без такава информация не е възможно да се предприемат други действия и освен това самоличността на участващите лица няма да бъде разкрита на не оторизирани служби.</w:t>
            </w:r>
          </w:p>
          <w:p w:rsidR="008F1AD6" w:rsidRPr="008F1AD6" w:rsidRDefault="008F1AD6" w:rsidP="008F1AD6">
            <w:pPr>
              <w:rPr>
                <w:i/>
                <w:color w:val="000000"/>
                <w:sz w:val="20"/>
                <w:lang w:val="bg-BG"/>
              </w:rPr>
            </w:pPr>
          </w:p>
          <w:p w:rsidR="008F1AD6" w:rsidRPr="008F1AD6" w:rsidRDefault="008F1AD6" w:rsidP="008F1AD6">
            <w:pPr>
              <w:rPr>
                <w:i/>
                <w:color w:val="000000"/>
                <w:sz w:val="20"/>
                <w:lang w:val="bg-BG"/>
              </w:rPr>
            </w:pPr>
            <w:r w:rsidRPr="008F1AD6">
              <w:rPr>
                <w:i/>
                <w:color w:val="000000"/>
                <w:sz w:val="20"/>
                <w:lang w:val="bg-BG"/>
              </w:rPr>
              <w:t>Обяснете, че трябва да се докладва дори за съмнителен случай, за да бъде започнато по-нататъшно проучване.</w:t>
            </w:r>
          </w:p>
          <w:p w:rsidR="008F1AD6" w:rsidRPr="008F1AD6" w:rsidRDefault="008F1AD6" w:rsidP="008F1AD6">
            <w:pPr>
              <w:rPr>
                <w:i/>
                <w:color w:val="000000"/>
                <w:sz w:val="20"/>
                <w:lang w:val="bg-BG"/>
              </w:rPr>
            </w:pPr>
          </w:p>
          <w:p w:rsidR="008F1AD6" w:rsidRPr="008F1AD6" w:rsidRDefault="008F1AD6" w:rsidP="008F1AD6">
            <w:pPr>
              <w:rPr>
                <w:i/>
                <w:color w:val="000000"/>
                <w:sz w:val="20"/>
                <w:lang w:val="bg-BG"/>
              </w:rPr>
            </w:pPr>
            <w:r w:rsidRPr="008F1AD6">
              <w:rPr>
                <w:i/>
                <w:color w:val="000000"/>
                <w:sz w:val="20"/>
                <w:lang w:val="bg-BG"/>
              </w:rPr>
              <w:t>Първо попитайте източника на информация за точното име на детето, както и за прякори (ако съществуват прякори).</w:t>
            </w:r>
          </w:p>
          <w:p w:rsidR="008F1AD6" w:rsidRPr="008F1AD6" w:rsidRDefault="008F1AD6" w:rsidP="008F1AD6">
            <w:pPr>
              <w:rPr>
                <w:b/>
                <w:color w:val="000000"/>
                <w:sz w:val="20"/>
                <w:lang w:val="bg-BG"/>
              </w:rPr>
            </w:pPr>
          </w:p>
          <w:p w:rsidR="008F1AD6" w:rsidRPr="008F1AD6" w:rsidRDefault="008F1AD6" w:rsidP="008F1AD6">
            <w:pPr>
              <w:rPr>
                <w:b/>
                <w:color w:val="000000"/>
                <w:sz w:val="20"/>
                <w:lang w:val="bg-BG"/>
              </w:rPr>
            </w:pPr>
            <w:r w:rsidRPr="008F1AD6">
              <w:rPr>
                <w:b/>
                <w:color w:val="000000"/>
                <w:sz w:val="20"/>
                <w:lang w:val="bg-BG"/>
              </w:rPr>
              <w:t xml:space="preserve">For DE_R4 (Източник на информация) </w:t>
            </w:r>
          </w:p>
          <w:p w:rsidR="008F1AD6" w:rsidRPr="008F1AD6" w:rsidRDefault="008F1AD6" w:rsidP="008F1AD6">
            <w:pPr>
              <w:rPr>
                <w:i/>
                <w:color w:val="000000"/>
                <w:sz w:val="20"/>
                <w:lang w:val="bg-BG"/>
              </w:rPr>
            </w:pPr>
            <w:r w:rsidRPr="008F1AD6">
              <w:rPr>
                <w:i/>
                <w:color w:val="000000"/>
                <w:sz w:val="20"/>
                <w:lang w:val="bg-BG"/>
              </w:rPr>
              <w:t xml:space="preserve"> Ако източникът на информация не споменава самоличността си, моля, попитайте „Бих каква е връзката ви с детето или как се информирахте за инцидента?“</w:t>
            </w:r>
          </w:p>
          <w:p w:rsidR="008F1AD6" w:rsidRPr="008F1AD6" w:rsidRDefault="008F1AD6" w:rsidP="008F1AD6">
            <w:pPr>
              <w:rPr>
                <w:i/>
                <w:color w:val="000000"/>
                <w:sz w:val="20"/>
                <w:lang w:val="bg-BG"/>
              </w:rPr>
            </w:pPr>
          </w:p>
          <w:p w:rsidR="008F1AD6" w:rsidRPr="008F1AD6" w:rsidRDefault="008F1AD6" w:rsidP="008F1AD6">
            <w:pPr>
              <w:rPr>
                <w:b/>
                <w:color w:val="000000"/>
                <w:sz w:val="20"/>
                <w:lang w:val="bg-BG"/>
              </w:rPr>
            </w:pPr>
            <w:r w:rsidRPr="008F1AD6">
              <w:rPr>
                <w:b/>
                <w:i/>
                <w:color w:val="000000"/>
                <w:sz w:val="20"/>
                <w:lang w:val="bg-BG"/>
              </w:rPr>
              <w:t>For DE_I3</w:t>
            </w:r>
            <w:r w:rsidRPr="008F1AD6">
              <w:rPr>
                <w:b/>
                <w:color w:val="000000"/>
                <w:sz w:val="20"/>
                <w:lang w:val="bg-BG"/>
              </w:rPr>
              <w:t xml:space="preserve"> (Форми на малтретирани) </w:t>
            </w:r>
          </w:p>
          <w:p w:rsidR="008F1AD6" w:rsidRPr="008F1AD6" w:rsidRDefault="008F1AD6" w:rsidP="008F1AD6">
            <w:pPr>
              <w:rPr>
                <w:i/>
                <w:color w:val="000000"/>
                <w:sz w:val="20"/>
                <w:lang w:val="bg-BG"/>
              </w:rPr>
            </w:pPr>
            <w:r w:rsidRPr="008F1AD6">
              <w:rPr>
                <w:i/>
                <w:color w:val="000000"/>
                <w:sz w:val="20"/>
                <w:lang w:val="bg-BG"/>
              </w:rPr>
              <w:t>Очаква се източникът на информация да посочи  информация относно формата / формите на малтретиране; във всеки случай Операторът трябва да подкани за събиране на допълнителна информация, като например: „Бихте ли ми дали повече информация за конкретни действия, свързани с детето? Знаете ли за някакви конкретни пропуски в грижите за детето? "</w:t>
            </w:r>
          </w:p>
          <w:p w:rsidR="008F1AD6" w:rsidRPr="008F1AD6" w:rsidRDefault="008F1AD6" w:rsidP="008F1AD6">
            <w:pPr>
              <w:rPr>
                <w:i/>
                <w:color w:val="000000"/>
                <w:sz w:val="20"/>
                <w:lang w:val="bg-BG"/>
              </w:rPr>
            </w:pPr>
          </w:p>
          <w:p w:rsidR="008F1AD6" w:rsidRPr="008F1AD6" w:rsidRDefault="008F1AD6" w:rsidP="008F1AD6">
            <w:pPr>
              <w:rPr>
                <w:i/>
                <w:color w:val="000000"/>
                <w:sz w:val="20"/>
                <w:lang w:val="bg-BG"/>
              </w:rPr>
            </w:pPr>
          </w:p>
          <w:p w:rsidR="008F1AD6" w:rsidRPr="008F1AD6" w:rsidRDefault="008F1AD6" w:rsidP="008F1AD6">
            <w:pPr>
              <w:jc w:val="both"/>
              <w:rPr>
                <w:b/>
                <w:sz w:val="20"/>
                <w:lang w:val="bg-BG"/>
              </w:rPr>
            </w:pPr>
            <w:r w:rsidRPr="008F1AD6">
              <w:rPr>
                <w:b/>
                <w:sz w:val="20"/>
                <w:lang w:val="bg-BG"/>
              </w:rPr>
              <w:t xml:space="preserve">За  DE_I2 (Дата на инцидент) </w:t>
            </w:r>
          </w:p>
          <w:p w:rsidR="008F1AD6" w:rsidRPr="008F1AD6" w:rsidRDefault="008F1AD6" w:rsidP="008F1AD6">
            <w:pPr>
              <w:jc w:val="both"/>
              <w:rPr>
                <w:b/>
                <w:sz w:val="20"/>
                <w:lang w:val="bg-BG"/>
              </w:rPr>
            </w:pPr>
            <w:r w:rsidRPr="008F1AD6">
              <w:rPr>
                <w:sz w:val="20"/>
                <w:lang w:val="bg-BG"/>
              </w:rPr>
              <w:lastRenderedPageBreak/>
              <w:t>Ако източникът на информация не споменава кога се е случил инцидентът или той не е точен, моля, попитайте „Бихте ли ми казали кога точно се случи конкретният инцидент?“ (опитайте се да получите информация за точната дата, тъй като тази информация ще бъде допълнително използвана за формулирането на V9 „Идентификационен номер на инцидента“)</w:t>
            </w:r>
          </w:p>
          <w:p w:rsidR="008F1AD6" w:rsidRPr="008F1AD6" w:rsidRDefault="008F1AD6" w:rsidP="008F1AD6">
            <w:pPr>
              <w:jc w:val="both"/>
              <w:rPr>
                <w:b/>
                <w:sz w:val="20"/>
                <w:lang w:val="bg-BG"/>
              </w:rPr>
            </w:pPr>
          </w:p>
          <w:p w:rsidR="008F1AD6" w:rsidRPr="008F1AD6" w:rsidRDefault="008F1AD6" w:rsidP="008F1AD6">
            <w:pPr>
              <w:jc w:val="both"/>
              <w:rPr>
                <w:b/>
                <w:sz w:val="20"/>
                <w:lang w:val="bg-BG"/>
              </w:rPr>
            </w:pPr>
            <w:r w:rsidRPr="008F1AD6">
              <w:rPr>
                <w:b/>
                <w:sz w:val="20"/>
                <w:lang w:val="bg-BG"/>
              </w:rPr>
              <w:t xml:space="preserve">For DE_I4 (Място на инцидент) </w:t>
            </w:r>
          </w:p>
          <w:p w:rsidR="008F1AD6" w:rsidRPr="008F1AD6" w:rsidRDefault="008F1AD6" w:rsidP="008F1AD6">
            <w:pPr>
              <w:jc w:val="both"/>
              <w:rPr>
                <w:sz w:val="20"/>
                <w:lang w:val="bg-BG"/>
              </w:rPr>
            </w:pPr>
            <w:r w:rsidRPr="008F1AD6">
              <w:rPr>
                <w:sz w:val="20"/>
                <w:lang w:val="bg-BG"/>
              </w:rPr>
              <w:t>Ако източникът на информация не споменава къде се е случил инцидентът или той е неточен, моля, попитайте „Бихте ли ми казали къде точно се  случи конкретният инцидент?“</w:t>
            </w:r>
          </w:p>
          <w:p w:rsidR="008F1AD6" w:rsidRPr="008F1AD6" w:rsidRDefault="008F1AD6" w:rsidP="008F1AD6">
            <w:pPr>
              <w:jc w:val="both"/>
              <w:rPr>
                <w:b/>
                <w:sz w:val="20"/>
                <w:lang w:val="bg-BG"/>
              </w:rPr>
            </w:pPr>
          </w:p>
          <w:p w:rsidR="008F1AD6" w:rsidRPr="008F1AD6" w:rsidRDefault="008F1AD6" w:rsidP="008F1AD6">
            <w:pPr>
              <w:jc w:val="both"/>
              <w:rPr>
                <w:b/>
                <w:sz w:val="20"/>
                <w:lang w:val="bg-BG"/>
              </w:rPr>
            </w:pPr>
            <w:r w:rsidRPr="008F1AD6">
              <w:rPr>
                <w:b/>
                <w:sz w:val="20"/>
                <w:lang w:val="bg-BG"/>
              </w:rPr>
              <w:t xml:space="preserve">For DE_C2 (Пол на детето) </w:t>
            </w:r>
          </w:p>
          <w:p w:rsidR="008F1AD6" w:rsidRPr="008F1AD6" w:rsidRDefault="008F1AD6" w:rsidP="008F1AD6">
            <w:pPr>
              <w:jc w:val="both"/>
              <w:rPr>
                <w:sz w:val="20"/>
                <w:lang w:val="bg-BG"/>
              </w:rPr>
            </w:pPr>
            <w:r w:rsidRPr="008F1AD6">
              <w:rPr>
                <w:sz w:val="20"/>
                <w:lang w:val="bg-BG"/>
              </w:rPr>
              <w:t>Независимо дали полът на детето е ясно споменат от източника на информация, моля, попитайте „Какъв е полът на детето, за което говорите?“</w:t>
            </w:r>
          </w:p>
          <w:p w:rsidR="008F1AD6" w:rsidRPr="008F1AD6" w:rsidRDefault="008F1AD6" w:rsidP="008F1AD6">
            <w:pPr>
              <w:jc w:val="both"/>
              <w:rPr>
                <w:b/>
                <w:sz w:val="20"/>
                <w:lang w:val="bg-BG"/>
              </w:rPr>
            </w:pPr>
            <w:r w:rsidRPr="008F1AD6">
              <w:rPr>
                <w:b/>
                <w:sz w:val="20"/>
                <w:lang w:val="bg-BG"/>
              </w:rPr>
              <w:t xml:space="preserve">For DE_C3 (Дата на раждане на детето) </w:t>
            </w:r>
          </w:p>
          <w:p w:rsidR="008F1AD6" w:rsidRPr="008F1AD6" w:rsidRDefault="008F1AD6" w:rsidP="008F1AD6">
            <w:pPr>
              <w:jc w:val="both"/>
              <w:rPr>
                <w:sz w:val="20"/>
                <w:lang w:val="bg-BG"/>
              </w:rPr>
            </w:pPr>
            <w:r w:rsidRPr="008F1AD6">
              <w:rPr>
                <w:sz w:val="20"/>
                <w:lang w:val="bg-BG"/>
              </w:rPr>
              <w:t>Моля, попитайте източника на информация за точната дата на раждане на детето; ако пълната дата не е известна, попитайте за месец и година; в противен случай, само за година.</w:t>
            </w:r>
          </w:p>
          <w:p w:rsidR="008F1AD6" w:rsidRPr="008F1AD6" w:rsidRDefault="008F1AD6" w:rsidP="008F1AD6">
            <w:pPr>
              <w:jc w:val="both"/>
              <w:rPr>
                <w:b/>
                <w:sz w:val="20"/>
                <w:lang w:val="bg-BG"/>
              </w:rPr>
            </w:pPr>
          </w:p>
          <w:p w:rsidR="008F1AD6" w:rsidRPr="008F1AD6" w:rsidRDefault="008F1AD6" w:rsidP="008F1AD6">
            <w:pPr>
              <w:jc w:val="both"/>
              <w:rPr>
                <w:b/>
                <w:sz w:val="20"/>
                <w:lang w:val="bg-BG"/>
              </w:rPr>
            </w:pPr>
            <w:r w:rsidRPr="008F1AD6">
              <w:rPr>
                <w:b/>
                <w:sz w:val="20"/>
                <w:lang w:val="bg-BG"/>
              </w:rPr>
              <w:t xml:space="preserve">For DE_C4 (Гражданство) </w:t>
            </w:r>
          </w:p>
          <w:p w:rsidR="008F1AD6" w:rsidRPr="008F1AD6" w:rsidRDefault="008F1AD6" w:rsidP="008F1AD6">
            <w:pPr>
              <w:jc w:val="both"/>
              <w:rPr>
                <w:b/>
                <w:sz w:val="20"/>
                <w:lang w:val="bg-BG"/>
              </w:rPr>
            </w:pPr>
            <w:r w:rsidRPr="008F1AD6">
              <w:rPr>
                <w:sz w:val="20"/>
                <w:lang w:val="bg-BG"/>
              </w:rPr>
              <w:t>Моля, попитайте източника на информация за състоянието на гражданството на детето „Знаете ли дали детето има гражданство (и ако да, с или без ЕГН“</w:t>
            </w:r>
          </w:p>
          <w:p w:rsidR="008F1AD6" w:rsidRPr="008F1AD6" w:rsidRDefault="008F1AD6" w:rsidP="008F1AD6">
            <w:pPr>
              <w:jc w:val="both"/>
              <w:rPr>
                <w:b/>
                <w:sz w:val="20"/>
                <w:lang w:val="bg-BG"/>
              </w:rPr>
            </w:pPr>
          </w:p>
          <w:p w:rsidR="008F1AD6" w:rsidRPr="008F1AD6" w:rsidRDefault="008F1AD6" w:rsidP="008F1AD6">
            <w:pPr>
              <w:jc w:val="both"/>
              <w:rPr>
                <w:b/>
                <w:sz w:val="20"/>
                <w:lang w:val="bg-BG"/>
              </w:rPr>
            </w:pPr>
            <w:r w:rsidRPr="008F1AD6">
              <w:rPr>
                <w:b/>
                <w:sz w:val="20"/>
                <w:lang w:val="bg-BG"/>
              </w:rPr>
              <w:t xml:space="preserve">For DE_F1-F4 (Състав на семействотои основни хрижещи се за детето) </w:t>
            </w:r>
          </w:p>
          <w:p w:rsidR="008F1AD6" w:rsidRPr="008F1AD6" w:rsidRDefault="008F1AD6" w:rsidP="008F1AD6">
            <w:pPr>
              <w:jc w:val="both"/>
              <w:rPr>
                <w:sz w:val="20"/>
                <w:lang w:val="bg-BG"/>
              </w:rPr>
            </w:pPr>
            <w:r w:rsidRPr="008F1AD6">
              <w:rPr>
                <w:sz w:val="20"/>
                <w:lang w:val="bg-BG"/>
              </w:rPr>
              <w:t>Моля, попитайте източника на информация за семейството на детето и за основните грижижещи се  (до 2-ма): „Бихте ли ми предоставили още информация за състоянието на семейството на детето? Кой друг живее с детето? Кои са хората, които са били отговорни за детето по време на инцидента, а именно каква е връзката им с детето? Може ли да ми кажете техния пол и дата на раждане? “ Ако датата на раждане не е известна, питайте за месец и година; в противен случай за година; ако дори годината не е известна, тогава питайте за десетилетие.</w:t>
            </w:r>
          </w:p>
          <w:p w:rsidR="008F1AD6" w:rsidRPr="008F1AD6" w:rsidRDefault="008F1AD6" w:rsidP="008F1AD6">
            <w:pPr>
              <w:jc w:val="both"/>
              <w:rPr>
                <w:b/>
                <w:bCs/>
                <w:sz w:val="20"/>
                <w:lang w:val="bg-BG"/>
              </w:rPr>
            </w:pPr>
          </w:p>
          <w:p w:rsidR="008F1AD6" w:rsidRPr="008F1AD6" w:rsidRDefault="008F1AD6" w:rsidP="008F1AD6">
            <w:pPr>
              <w:jc w:val="both"/>
              <w:rPr>
                <w:b/>
                <w:bCs/>
                <w:sz w:val="20"/>
                <w:lang w:val="ru-RU"/>
              </w:rPr>
            </w:pPr>
            <w:r w:rsidRPr="008F1AD6">
              <w:rPr>
                <w:b/>
                <w:bCs/>
                <w:sz w:val="20"/>
                <w:lang w:val="ru-RU"/>
              </w:rPr>
              <w:t xml:space="preserve">Необходимо време за регистриране на случай (приблизително) </w:t>
            </w:r>
          </w:p>
          <w:p w:rsidR="008F1AD6" w:rsidRPr="008F1AD6" w:rsidRDefault="008F1AD6" w:rsidP="008F1AD6">
            <w:pPr>
              <w:rPr>
                <w:sz w:val="20"/>
                <w:lang w:val="ru-RU"/>
              </w:rPr>
            </w:pPr>
            <w:r w:rsidRPr="008F1AD6">
              <w:rPr>
                <w:sz w:val="20"/>
                <w:lang w:val="bg-BG"/>
              </w:rPr>
              <w:t xml:space="preserve">Очаква се, че изготвянето на записа за </w:t>
            </w:r>
            <w:r w:rsidRPr="008F1AD6">
              <w:rPr>
                <w:rFonts w:eastAsia="Times New Roman"/>
                <w:sz w:val="20"/>
                <w:lang w:val="ru-RU"/>
              </w:rPr>
              <w:t>всеки отделен случай</w:t>
            </w:r>
            <w:r w:rsidRPr="008F1AD6">
              <w:rPr>
                <w:sz w:val="20"/>
                <w:lang w:val="ru-RU"/>
              </w:rPr>
              <w:t xml:space="preserve"> ще отнеме 30 </w:t>
            </w:r>
            <w:r w:rsidRPr="008F1AD6">
              <w:rPr>
                <w:sz w:val="20"/>
                <w:lang w:val="bg-BG"/>
              </w:rPr>
              <w:t xml:space="preserve">минути </w:t>
            </w:r>
            <w:r w:rsidRPr="008F1AD6">
              <w:rPr>
                <w:sz w:val="20"/>
                <w:lang w:val="ru-RU"/>
              </w:rPr>
              <w:t>(</w:t>
            </w:r>
            <w:r w:rsidRPr="008F1AD6">
              <w:rPr>
                <w:rFonts w:eastAsia="Times New Roman"/>
                <w:sz w:val="20"/>
                <w:lang w:val="ru-RU"/>
              </w:rPr>
              <w:t>15 минути - събиране на информацията, част от рутинната процедура не само за CAN-MDS</w:t>
            </w:r>
            <w:r w:rsidRPr="008F1AD6">
              <w:rPr>
                <w:sz w:val="20"/>
                <w:lang w:val="ru-RU"/>
              </w:rPr>
              <w:t xml:space="preserve">, </w:t>
            </w:r>
            <w:r w:rsidRPr="008F1AD6">
              <w:rPr>
                <w:rFonts w:eastAsia="Times New Roman"/>
                <w:sz w:val="20"/>
                <w:lang w:val="ru-RU"/>
              </w:rPr>
              <w:t>5 минути - комуникация с администратора, 10 минути - попълване на формата</w:t>
            </w:r>
            <w:r w:rsidRPr="008F1AD6">
              <w:rPr>
                <w:sz w:val="20"/>
                <w:lang w:val="ru-RU"/>
              </w:rPr>
              <w:t>).</w:t>
            </w:r>
          </w:p>
          <w:p w:rsidR="008F1AD6" w:rsidRPr="008F1AD6" w:rsidRDefault="008F1AD6" w:rsidP="008F1AD6">
            <w:pPr>
              <w:jc w:val="both"/>
              <w:rPr>
                <w:b/>
                <w:sz w:val="20"/>
                <w:lang w:val="ru-RU"/>
              </w:rPr>
            </w:pPr>
          </w:p>
          <w:p w:rsidR="008F1AD6" w:rsidRPr="008F1AD6" w:rsidRDefault="008F1AD6" w:rsidP="008F1AD6">
            <w:pPr>
              <w:jc w:val="both"/>
              <w:rPr>
                <w:b/>
                <w:sz w:val="20"/>
                <w:lang w:val="ru-RU"/>
              </w:rPr>
            </w:pPr>
            <w:r w:rsidRPr="008F1AD6">
              <w:rPr>
                <w:b/>
                <w:sz w:val="20"/>
                <w:lang w:val="bg-BG"/>
              </w:rPr>
              <w:t>БЕЛЕЖКА</w:t>
            </w:r>
            <w:r w:rsidRPr="008F1AD6">
              <w:rPr>
                <w:b/>
                <w:sz w:val="20"/>
                <w:lang w:val="ru-RU"/>
              </w:rPr>
              <w:t xml:space="preserve">: </w:t>
            </w:r>
          </w:p>
          <w:p w:rsidR="008F1AD6" w:rsidRPr="008F1AD6" w:rsidRDefault="008F1AD6" w:rsidP="008F1AD6">
            <w:pPr>
              <w:jc w:val="both"/>
              <w:rPr>
                <w:sz w:val="20"/>
                <w:lang w:val="bg-BG"/>
              </w:rPr>
            </w:pPr>
            <w:r w:rsidRPr="008F1AD6">
              <w:rPr>
                <w:sz w:val="20"/>
                <w:lang w:val="bg-BG"/>
              </w:rPr>
              <w:t>Можете да използвате формата в приложение I като контролен списък, за да сте сигурни, че ще съхранявате цялата необходима информация, която да бъде записана след това в CAN-MDS.</w:t>
            </w:r>
          </w:p>
          <w:p w:rsidR="008F1AD6" w:rsidRPr="008F1AD6" w:rsidRDefault="008F1AD6" w:rsidP="008F1AD6">
            <w:pPr>
              <w:jc w:val="both"/>
              <w:rPr>
                <w:b/>
                <w:sz w:val="10"/>
                <w:lang w:val="ru-RU"/>
              </w:rPr>
            </w:pPr>
          </w:p>
          <w:p w:rsidR="008F1AD6" w:rsidRPr="008F1AD6" w:rsidRDefault="008F1AD6" w:rsidP="008F1AD6">
            <w:pPr>
              <w:jc w:val="both"/>
              <w:rPr>
                <w:b/>
                <w:color w:val="C00000"/>
                <w:sz w:val="20"/>
                <w:lang w:val="ru-RU"/>
              </w:rPr>
            </w:pPr>
            <w:r w:rsidRPr="008F1AD6">
              <w:rPr>
                <w:b/>
                <w:color w:val="C00000"/>
                <w:sz w:val="20"/>
                <w:lang w:val="bg-BG"/>
              </w:rPr>
              <w:t>ВНИМАНИЕ</w:t>
            </w:r>
            <w:r w:rsidRPr="008F1AD6">
              <w:rPr>
                <w:b/>
                <w:color w:val="C00000"/>
                <w:sz w:val="20"/>
                <w:lang w:val="ru-RU"/>
              </w:rPr>
              <w:t>!</w:t>
            </w:r>
          </w:p>
          <w:p w:rsidR="008F1AD6" w:rsidRPr="008F1AD6" w:rsidRDefault="008F1AD6" w:rsidP="008F1AD6">
            <w:pPr>
              <w:jc w:val="both"/>
              <w:rPr>
                <w:color w:val="C00000"/>
                <w:sz w:val="20"/>
                <w:lang w:val="bg-BG"/>
              </w:rPr>
            </w:pPr>
            <w:r w:rsidRPr="008F1AD6">
              <w:rPr>
                <w:color w:val="C00000"/>
                <w:sz w:val="20"/>
                <w:lang w:val="bg-BG"/>
              </w:rPr>
              <w:t>Когато поискате идентификационен номер на ДЕТЕ, не забравяйте да запазите информацията,която е необходима за предоставяне на националния администратор относно самоличността на детето и полагащите грижи за него и в приложение II ; тази информация НЯМА да бъде записана в CAN-MDS (вместо това ще се използва псевдоним).</w:t>
            </w:r>
          </w:p>
          <w:p w:rsidR="008F1AD6" w:rsidRPr="008F1AD6" w:rsidRDefault="008F1AD6" w:rsidP="008F1AD6">
            <w:pPr>
              <w:jc w:val="both"/>
              <w:rPr>
                <w:i/>
                <w:sz w:val="10"/>
                <w:lang w:val="ru-RU"/>
              </w:rPr>
            </w:pPr>
          </w:p>
        </w:tc>
      </w:tr>
      <w:tr w:rsidR="008F1AD6" w:rsidRPr="008F1AD6" w:rsidTr="00882864">
        <w:tc>
          <w:tcPr>
            <w:tcW w:w="1818" w:type="dxa"/>
            <w:gridSpan w:val="2"/>
          </w:tcPr>
          <w:p w:rsidR="008F1AD6" w:rsidRPr="008F1AD6" w:rsidRDefault="008F1AD6" w:rsidP="008F1AD6">
            <w:pPr>
              <w:jc w:val="right"/>
              <w:rPr>
                <w:rFonts w:ascii="Calibri Light" w:hAnsi="Calibri Light"/>
                <w:b/>
                <w:iCs/>
                <w:color w:val="323E4F"/>
                <w:sz w:val="28"/>
                <w:lang w:val="bg-BG"/>
              </w:rPr>
            </w:pPr>
          </w:p>
        </w:tc>
        <w:tc>
          <w:tcPr>
            <w:tcW w:w="8144" w:type="dxa"/>
            <w:gridSpan w:val="2"/>
          </w:tcPr>
          <w:p w:rsidR="008F1AD6" w:rsidRPr="008F1AD6" w:rsidRDefault="008F1AD6" w:rsidP="008F1AD6">
            <w:pPr>
              <w:jc w:val="both"/>
              <w:rPr>
                <w:i/>
                <w:sz w:val="10"/>
                <w:lang w:val="ru-RU"/>
              </w:rPr>
            </w:pPr>
          </w:p>
        </w:tc>
      </w:tr>
    </w:tbl>
    <w:p w:rsidR="008F1AD6" w:rsidRPr="008F1AD6" w:rsidRDefault="008F1AD6" w:rsidP="008F1AD6">
      <w:pPr>
        <w:pBdr>
          <w:bottom w:val="single" w:sz="8" w:space="4" w:color="5B9BD5"/>
        </w:pBdr>
        <w:spacing w:after="0" w:line="240" w:lineRule="auto"/>
        <w:contextualSpacing/>
        <w:rPr>
          <w:rFonts w:ascii="Calibri Light" w:eastAsia="Times New Roman" w:hAnsi="Calibri Light" w:cs="Tahoma"/>
          <w:bCs/>
          <w:color w:val="323E4F"/>
          <w:spacing w:val="5"/>
          <w:kern w:val="28"/>
          <w:sz w:val="52"/>
          <w:szCs w:val="20"/>
          <w:lang w:val="ru-RU" w:eastAsia="el-GR"/>
        </w:rPr>
      </w:pPr>
    </w:p>
    <w:p w:rsidR="008F1AD6" w:rsidRPr="008F1AD6" w:rsidRDefault="008F1AD6" w:rsidP="008F1AD6">
      <w:pPr>
        <w:spacing w:after="0" w:line="240" w:lineRule="auto"/>
        <w:rPr>
          <w:lang w:val="ru-RU"/>
        </w:rPr>
      </w:pPr>
    </w:p>
    <w:p w:rsidR="008F1AD6" w:rsidRPr="008F1AD6" w:rsidRDefault="008F1AD6" w:rsidP="008F1AD6">
      <w:pPr>
        <w:spacing w:after="0" w:line="240" w:lineRule="auto"/>
        <w:rPr>
          <w:lang w:val="ru-RU"/>
        </w:rPr>
      </w:pPr>
    </w:p>
    <w:p w:rsidR="008F1AD6" w:rsidRPr="008F1AD6" w:rsidRDefault="007F5733" w:rsidP="008F1AD6">
      <w:pPr>
        <w:jc w:val="center"/>
      </w:pPr>
      <w:r>
        <w:rPr>
          <w:noProof/>
          <w:lang w:eastAsia="en-GB"/>
        </w:rPr>
        <w:drawing>
          <wp:inline distT="0" distB="0" distL="0" distR="0" wp14:anchorId="6D8395BD" wp14:editId="6C14549D">
            <wp:extent cx="5349138" cy="675565"/>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srcRect l="22279" t="41823" r="17606" b="45548"/>
                    <a:stretch/>
                  </pic:blipFill>
                  <pic:spPr bwMode="auto">
                    <a:xfrm>
                      <a:off x="0" y="0"/>
                      <a:ext cx="5352800" cy="676028"/>
                    </a:xfrm>
                    <a:prstGeom prst="rect">
                      <a:avLst/>
                    </a:prstGeom>
                    <a:ln>
                      <a:noFill/>
                    </a:ln>
                    <a:extLst>
                      <a:ext uri="{53640926-AAD7-44D8-BBD7-CCE9431645EC}">
                        <a14:shadowObscured xmlns:a14="http://schemas.microsoft.com/office/drawing/2010/main"/>
                      </a:ext>
                    </a:extLst>
                  </pic:spPr>
                </pic:pic>
              </a:graphicData>
            </a:graphic>
          </wp:inline>
        </w:drawing>
      </w:r>
      <w:bookmarkStart w:id="2" w:name="_GoBack"/>
      <w:bookmarkEnd w:id="2"/>
    </w:p>
    <w:p w:rsidR="00A5046A" w:rsidRDefault="00A5046A" w:rsidP="00A5046A">
      <w:pPr>
        <w:jc w:val="center"/>
      </w:pPr>
    </w:p>
    <w:sectPr w:rsidR="00A504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Agency FB">
    <w:panose1 w:val="020B0503020202020204"/>
    <w:charset w:val="00"/>
    <w:family w:val="swiss"/>
    <w:pitch w:val="variable"/>
    <w:sig w:usb0="00000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571A6"/>
    <w:multiLevelType w:val="hybridMultilevel"/>
    <w:tmpl w:val="7CAE8B0E"/>
    <w:lvl w:ilvl="0" w:tplc="D92610EC">
      <w:start w:val="1"/>
      <w:numFmt w:val="decimal"/>
      <w:lvlText w:val="%1."/>
      <w:lvlJc w:val="left"/>
      <w:pPr>
        <w:ind w:left="961" w:hanging="360"/>
      </w:pPr>
    </w:lvl>
    <w:lvl w:ilvl="1" w:tplc="04080019">
      <w:start w:val="1"/>
      <w:numFmt w:val="lowerLetter"/>
      <w:lvlText w:val="%2."/>
      <w:lvlJc w:val="left"/>
      <w:pPr>
        <w:ind w:left="1681" w:hanging="360"/>
      </w:pPr>
    </w:lvl>
    <w:lvl w:ilvl="2" w:tplc="0408001B">
      <w:start w:val="1"/>
      <w:numFmt w:val="lowerRoman"/>
      <w:lvlText w:val="%3."/>
      <w:lvlJc w:val="right"/>
      <w:pPr>
        <w:ind w:left="2401" w:hanging="180"/>
      </w:pPr>
    </w:lvl>
    <w:lvl w:ilvl="3" w:tplc="0408000F">
      <w:start w:val="1"/>
      <w:numFmt w:val="decimal"/>
      <w:lvlText w:val="%4."/>
      <w:lvlJc w:val="left"/>
      <w:pPr>
        <w:ind w:left="3121" w:hanging="360"/>
      </w:pPr>
    </w:lvl>
    <w:lvl w:ilvl="4" w:tplc="04080019">
      <w:start w:val="1"/>
      <w:numFmt w:val="lowerLetter"/>
      <w:lvlText w:val="%5."/>
      <w:lvlJc w:val="left"/>
      <w:pPr>
        <w:ind w:left="3841" w:hanging="360"/>
      </w:pPr>
    </w:lvl>
    <w:lvl w:ilvl="5" w:tplc="0408001B">
      <w:start w:val="1"/>
      <w:numFmt w:val="lowerRoman"/>
      <w:lvlText w:val="%6."/>
      <w:lvlJc w:val="right"/>
      <w:pPr>
        <w:ind w:left="4561" w:hanging="180"/>
      </w:pPr>
    </w:lvl>
    <w:lvl w:ilvl="6" w:tplc="0408000F">
      <w:start w:val="1"/>
      <w:numFmt w:val="decimal"/>
      <w:lvlText w:val="%7."/>
      <w:lvlJc w:val="left"/>
      <w:pPr>
        <w:ind w:left="5281" w:hanging="360"/>
      </w:pPr>
    </w:lvl>
    <w:lvl w:ilvl="7" w:tplc="04080019">
      <w:start w:val="1"/>
      <w:numFmt w:val="lowerLetter"/>
      <w:lvlText w:val="%8."/>
      <w:lvlJc w:val="left"/>
      <w:pPr>
        <w:ind w:left="6001" w:hanging="360"/>
      </w:pPr>
    </w:lvl>
    <w:lvl w:ilvl="8" w:tplc="0408001B">
      <w:start w:val="1"/>
      <w:numFmt w:val="lowerRoman"/>
      <w:lvlText w:val="%9."/>
      <w:lvlJc w:val="right"/>
      <w:pPr>
        <w:ind w:left="6721"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29F8"/>
    <w:rsid w:val="000F2B41"/>
    <w:rsid w:val="00166275"/>
    <w:rsid w:val="001F6333"/>
    <w:rsid w:val="00243C51"/>
    <w:rsid w:val="00276AC5"/>
    <w:rsid w:val="002F5D5F"/>
    <w:rsid w:val="00337C96"/>
    <w:rsid w:val="00340F13"/>
    <w:rsid w:val="0056284F"/>
    <w:rsid w:val="005629F8"/>
    <w:rsid w:val="007F5733"/>
    <w:rsid w:val="00800000"/>
    <w:rsid w:val="00841D7C"/>
    <w:rsid w:val="00895617"/>
    <w:rsid w:val="008D2164"/>
    <w:rsid w:val="008F1AD6"/>
    <w:rsid w:val="00913D36"/>
    <w:rsid w:val="009340B8"/>
    <w:rsid w:val="009B6CD7"/>
    <w:rsid w:val="00A5046A"/>
    <w:rsid w:val="00A63AF6"/>
    <w:rsid w:val="00B17B84"/>
    <w:rsid w:val="00C37951"/>
    <w:rsid w:val="00C973E9"/>
    <w:rsid w:val="00CF7531"/>
    <w:rsid w:val="00E82661"/>
    <w:rsid w:val="00FE64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046A"/>
    <w:rPr>
      <w:rFonts w:ascii="Calibri" w:eastAsia="Calibri" w:hAnsi="Calibri" w:cs="Times New Roman"/>
      <w:lang w:val="it-I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5046A"/>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A5046A"/>
    <w:rPr>
      <w:rFonts w:ascii="Tahoma" w:eastAsia="Calibri" w:hAnsi="Tahoma" w:cs="Tahoma"/>
      <w:sz w:val="16"/>
      <w:szCs w:val="16"/>
      <w:lang w:val="it-IT"/>
    </w:rPr>
  </w:style>
  <w:style w:type="table" w:customStyle="1" w:styleId="TableGrid1">
    <w:name w:val="Table Grid1"/>
    <w:basedOn w:val="a1"/>
    <w:uiPriority w:val="59"/>
    <w:rsid w:val="00A5046A"/>
    <w:pPr>
      <w:spacing w:after="0" w:line="240" w:lineRule="auto"/>
    </w:pPr>
    <w:rPr>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046A"/>
    <w:rPr>
      <w:rFonts w:ascii="Calibri" w:eastAsia="Calibri" w:hAnsi="Calibri" w:cs="Times New Roman"/>
      <w:lang w:val="it-I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5046A"/>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A5046A"/>
    <w:rPr>
      <w:rFonts w:ascii="Tahoma" w:eastAsia="Calibri" w:hAnsi="Tahoma" w:cs="Tahoma"/>
      <w:sz w:val="16"/>
      <w:szCs w:val="16"/>
      <w:lang w:val="it-IT"/>
    </w:rPr>
  </w:style>
  <w:style w:type="table" w:customStyle="1" w:styleId="TableGrid1">
    <w:name w:val="Table Grid1"/>
    <w:basedOn w:val="a1"/>
    <w:uiPriority w:val="59"/>
    <w:rsid w:val="00A5046A"/>
    <w:pPr>
      <w:spacing w:after="0" w:line="240" w:lineRule="auto"/>
    </w:pPr>
    <w:rPr>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935922">
      <w:bodyDiv w:val="1"/>
      <w:marLeft w:val="0"/>
      <w:marRight w:val="0"/>
      <w:marTop w:val="0"/>
      <w:marBottom w:val="0"/>
      <w:divBdr>
        <w:top w:val="none" w:sz="0" w:space="0" w:color="auto"/>
        <w:left w:val="none" w:sz="0" w:space="0" w:color="auto"/>
        <w:bottom w:val="none" w:sz="0" w:space="0" w:color="auto"/>
        <w:right w:val="none" w:sz="0" w:space="0" w:color="auto"/>
      </w:divBdr>
    </w:div>
    <w:div w:id="882835848">
      <w:bodyDiv w:val="1"/>
      <w:marLeft w:val="0"/>
      <w:marRight w:val="0"/>
      <w:marTop w:val="0"/>
      <w:marBottom w:val="0"/>
      <w:divBdr>
        <w:top w:val="none" w:sz="0" w:space="0" w:color="auto"/>
        <w:left w:val="none" w:sz="0" w:space="0" w:color="auto"/>
        <w:bottom w:val="none" w:sz="0" w:space="0" w:color="auto"/>
        <w:right w:val="none" w:sz="0" w:space="0" w:color="auto"/>
      </w:divBdr>
    </w:div>
    <w:div w:id="1816952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1261</Words>
  <Characters>7188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iyplaptop1</cp:lastModifiedBy>
  <cp:revision>4</cp:revision>
  <dcterms:created xsi:type="dcterms:W3CDTF">2020-12-04T19:27:00Z</dcterms:created>
  <dcterms:modified xsi:type="dcterms:W3CDTF">2022-02-01T11:05:00Z</dcterms:modified>
</cp:coreProperties>
</file>